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rPr>
        <w:t>25bis</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rPr>
        <w:t>4</w:t>
      </w:r>
      <w:r>
        <w:rPr>
          <w:rFonts w:hint="eastAsia" w:ascii="Arial" w:hAnsi="Arial" w:eastAsia="宋体" w:cs="Arial"/>
          <w:b/>
          <w:kern w:val="0"/>
          <w:sz w:val="22"/>
          <w:lang w:val="en-US" w:eastAsia="zh-CN"/>
        </w:rPr>
        <w:t>03021</w:t>
      </w:r>
      <w:bookmarkStart w:id="0" w:name="_GoBack"/>
      <w:bookmarkEnd w:id="0"/>
    </w:p>
    <w:p>
      <w:pPr>
        <w:overflowPunct w:val="0"/>
        <w:autoSpaceDE w:val="0"/>
        <w:autoSpaceDN w:val="0"/>
        <w:adjustRightInd w:val="0"/>
        <w:spacing w:line="360" w:lineRule="auto"/>
        <w:jc w:val="left"/>
        <w:textAlignment w:val="baseline"/>
        <w:rPr>
          <w:rFonts w:ascii="Arial" w:hAnsi="Arial" w:eastAsia="宋体" w:cs="Arial"/>
          <w:b/>
          <w:bCs/>
          <w:kern w:val="0"/>
          <w:sz w:val="24"/>
          <w:szCs w:val="24"/>
          <w:lang w:val="en-GB"/>
        </w:rPr>
      </w:pPr>
      <w:r>
        <w:rPr>
          <w:rFonts w:hint="eastAsia" w:ascii="Arial" w:hAnsi="Arial" w:eastAsia="宋体" w:cs="Arial"/>
          <w:b/>
          <w:bCs/>
          <w:kern w:val="0"/>
          <w:sz w:val="24"/>
          <w:szCs w:val="24"/>
        </w:rPr>
        <w:t>Changsha, China,</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rPr>
        <w:t>15 - 19 April</w:t>
      </w:r>
      <w:r>
        <w:rPr>
          <w:rFonts w:ascii="Arial" w:hAnsi="Arial" w:eastAsia="宋体" w:cs="Arial"/>
          <w:b/>
          <w:bCs/>
          <w:kern w:val="0"/>
          <w:sz w:val="24"/>
          <w:szCs w:val="24"/>
          <w:lang w:val="en-GB"/>
        </w:rPr>
        <w:t>, 202</w:t>
      </w:r>
      <w:r>
        <w:rPr>
          <w:rFonts w:hint="eastAsia" w:ascii="Arial" w:hAnsi="Arial" w:eastAsia="宋体" w:cs="Arial"/>
          <w:b/>
          <w:bCs/>
          <w:kern w:val="0"/>
          <w:sz w:val="24"/>
          <w:szCs w:val="24"/>
        </w:rPr>
        <w:t>4</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hint="default" w:ascii="Arial" w:hAnsi="Arial" w:eastAsia="宋体" w:cs="Arial"/>
          <w:b/>
          <w:bCs/>
          <w:kern w:val="0"/>
          <w:sz w:val="24"/>
          <w:szCs w:val="20"/>
          <w:lang w:val="en-US"/>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8</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1.3</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NW-side data collection</w:t>
      </w:r>
    </w:p>
    <w:p>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NR_AIML_air-Core</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ascii="Arial" w:hAnsi="Arial" w:eastAsia="宋体" w:cs="Arial"/>
          <w:kern w:val="0"/>
          <w:sz w:val="36"/>
          <w:szCs w:val="20"/>
          <w:lang w:val="en-GB" w:eastAsia="en-US"/>
        </w:rPr>
        <w:t>Introduction</w:t>
      </w:r>
    </w:p>
    <w:p>
      <w:pPr>
        <w:widowControl/>
        <w:spacing w:after="180"/>
        <w:rPr>
          <w:rFonts w:ascii="Arial" w:hAnsi="Arial" w:eastAsia="宋体" w:cs="Arial"/>
          <w:kern w:val="0"/>
          <w:sz w:val="20"/>
          <w:szCs w:val="20"/>
          <w:lang w:val="en-GB" w:eastAsia="en-US"/>
        </w:rPr>
      </w:pPr>
      <w:r>
        <w:rPr>
          <w:rFonts w:hint="eastAsia" w:ascii="Arial" w:hAnsi="Arial" w:cs="Arial"/>
          <w:sz w:val="20"/>
          <w:szCs w:val="20"/>
        </w:rPr>
        <w:t xml:space="preserve">The objectives for Rel-19 AI/ML for </w:t>
      </w:r>
      <w:r>
        <w:rPr>
          <w:rFonts w:hint="eastAsia" w:ascii="Arial" w:hAnsi="Arial" w:cs="Arial"/>
          <w:sz w:val="20"/>
          <w:szCs w:val="20"/>
          <w:lang w:val="en-US" w:eastAsia="zh-CN"/>
        </w:rPr>
        <w:t>NR Air interface</w:t>
      </w:r>
      <w:r>
        <w:rPr>
          <w:rFonts w:hint="eastAsia" w:ascii="Arial" w:hAnsi="Arial" w:cs="Arial"/>
          <w:sz w:val="20"/>
          <w:szCs w:val="20"/>
        </w:rPr>
        <w:t xml:space="preserve"> w</w:t>
      </w:r>
      <w:r>
        <w:rPr>
          <w:rFonts w:hint="eastAsia" w:ascii="Arial" w:hAnsi="Arial" w:cs="Arial"/>
          <w:sz w:val="20"/>
          <w:szCs w:val="20"/>
          <w:lang w:val="en-US" w:eastAsia="zh-CN"/>
        </w:rPr>
        <w:t>ere</w:t>
      </w:r>
      <w:r>
        <w:rPr>
          <w:rFonts w:hint="eastAsia" w:ascii="Arial" w:hAnsi="Arial" w:cs="Arial"/>
          <w:sz w:val="20"/>
          <w:szCs w:val="20"/>
        </w:rPr>
        <w:t xml:space="preserve"> approved in [1].</w:t>
      </w:r>
      <w:r>
        <w:rPr>
          <w:rFonts w:ascii="Arial" w:hAnsi="Arial" w:eastAsia="宋体" w:cs="Arial"/>
          <w:kern w:val="0"/>
          <w:sz w:val="20"/>
          <w:szCs w:val="20"/>
          <w:lang w:val="en-GB" w:eastAsia="en-US"/>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numPr>
                <w:ilvl w:val="0"/>
                <w:numId w:val="6"/>
              </w:numPr>
              <w:spacing w:after="0"/>
              <w:rPr>
                <w:rFonts w:hint="default" w:ascii="Arial" w:hAnsi="Arial" w:cs="Arial"/>
                <w:bCs/>
                <w:sz w:val="20"/>
                <w:szCs w:val="21"/>
              </w:rPr>
            </w:pPr>
            <w:r>
              <w:rPr>
                <w:rFonts w:hint="default" w:ascii="Arial" w:hAnsi="Arial" w:cs="Arial"/>
                <w:bCs/>
                <w:sz w:val="20"/>
                <w:szCs w:val="21"/>
              </w:rPr>
              <w:t>AI/ML general framework for one-sided AI/ML models within the realm of what has been studied in the FS_NR_AIML_Air project [RAN2]:</w:t>
            </w:r>
          </w:p>
          <w:p>
            <w:pPr>
              <w:numPr>
                <w:ilvl w:val="1"/>
                <w:numId w:val="6"/>
              </w:numPr>
              <w:spacing w:after="0"/>
              <w:rPr>
                <w:rFonts w:hint="default" w:ascii="Arial" w:hAnsi="Arial" w:cs="Arial"/>
                <w:bCs/>
                <w:sz w:val="20"/>
                <w:szCs w:val="21"/>
              </w:rPr>
            </w:pPr>
            <w:r>
              <w:rPr>
                <w:rFonts w:hint="default" w:ascii="Arial" w:hAnsi="Arial" w:cs="Arial"/>
                <w:bCs/>
                <w:sz w:val="20"/>
                <w:szCs w:val="21"/>
              </w:rPr>
              <w:t>Signalling and protocol aspects of Life Cycle Management (LCM) enabling functionality and model (if justified) selection, activation, deactivation, switching, fallback</w:t>
            </w:r>
          </w:p>
          <w:p>
            <w:pPr>
              <w:numPr>
                <w:ilvl w:val="2"/>
                <w:numId w:val="6"/>
              </w:numPr>
              <w:spacing w:after="0"/>
              <w:rPr>
                <w:rFonts w:hint="default" w:ascii="Arial" w:hAnsi="Arial" w:cs="Arial"/>
                <w:bCs/>
                <w:sz w:val="20"/>
                <w:szCs w:val="21"/>
              </w:rPr>
            </w:pPr>
            <w:r>
              <w:rPr>
                <w:rFonts w:hint="default" w:ascii="Arial" w:hAnsi="Arial" w:cs="Arial"/>
                <w:bCs/>
                <w:sz w:val="20"/>
                <w:szCs w:val="21"/>
              </w:rPr>
              <w:t xml:space="preserve">Identification related signalling is part of the above objective </w:t>
            </w:r>
          </w:p>
          <w:p>
            <w:pPr>
              <w:numPr>
                <w:ilvl w:val="1"/>
                <w:numId w:val="6"/>
              </w:numPr>
              <w:spacing w:after="0"/>
              <w:rPr>
                <w:rFonts w:hint="default" w:ascii="Arial" w:hAnsi="Arial" w:cs="Arial"/>
                <w:bCs/>
                <w:sz w:val="20"/>
                <w:szCs w:val="21"/>
              </w:rPr>
            </w:pPr>
            <w:r>
              <w:rPr>
                <w:rFonts w:hint="default" w:ascii="Arial" w:hAnsi="Arial" w:cs="Arial"/>
                <w:bCs/>
                <w:sz w:val="20"/>
                <w:szCs w:val="21"/>
              </w:rPr>
              <w:t>Necessary signalling/mechanism(s) for LCM to facilitate model training, inference, performance monitoring, data collection (except for the purpose of CN/OAM/OTT collection of UE-sided model training data) for both UE-sided and NW-sided models</w:t>
            </w:r>
          </w:p>
          <w:p>
            <w:pPr>
              <w:numPr>
                <w:ilvl w:val="1"/>
                <w:numId w:val="6"/>
              </w:numPr>
              <w:spacing w:after="0"/>
              <w:rPr>
                <w:rFonts w:hint="default" w:ascii="Arial" w:hAnsi="Arial" w:cs="Arial"/>
                <w:bCs/>
                <w:sz w:val="20"/>
                <w:szCs w:val="21"/>
              </w:rPr>
            </w:pPr>
            <w:r>
              <w:rPr>
                <w:rFonts w:hint="default" w:ascii="Arial" w:hAnsi="Arial" w:cs="Arial"/>
                <w:bCs/>
                <w:sz w:val="20"/>
                <w:szCs w:val="21"/>
              </w:rPr>
              <w:t>Signalling mechanism of applicable functionalities/models</w:t>
            </w:r>
          </w:p>
          <w:p>
            <w:pPr>
              <w:spacing w:after="0"/>
              <w:ind w:left="720"/>
              <w:rPr>
                <w:rFonts w:hint="default" w:ascii="Arial" w:hAnsi="Arial" w:cs="Arial"/>
                <w:bCs/>
                <w:sz w:val="20"/>
                <w:szCs w:val="21"/>
              </w:rPr>
            </w:pPr>
          </w:p>
          <w:p>
            <w:pPr>
              <w:numPr>
                <w:ilvl w:val="0"/>
                <w:numId w:val="6"/>
              </w:numPr>
              <w:spacing w:after="0"/>
              <w:rPr>
                <w:rFonts w:hint="default" w:ascii="Arial" w:hAnsi="Arial" w:cs="Arial"/>
                <w:bCs/>
                <w:sz w:val="20"/>
                <w:szCs w:val="21"/>
              </w:rPr>
            </w:pPr>
            <w:r>
              <w:rPr>
                <w:rFonts w:hint="default" w:ascii="Arial" w:hAnsi="Arial" w:cs="Arial"/>
                <w:bCs/>
                <w:sz w:val="20"/>
                <w:szCs w:val="21"/>
              </w:rPr>
              <w:t>Beam management - DL Tx beam prediction for both UE-sided model and NW-sided model, encompassing [RAN1/RAN2]:</w:t>
            </w:r>
          </w:p>
          <w:p>
            <w:pPr>
              <w:numPr>
                <w:ilvl w:val="1"/>
                <w:numId w:val="6"/>
              </w:numPr>
              <w:spacing w:after="0"/>
              <w:rPr>
                <w:rFonts w:hint="default" w:ascii="Arial" w:hAnsi="Arial" w:cs="Arial"/>
                <w:bCs/>
                <w:sz w:val="20"/>
                <w:szCs w:val="21"/>
              </w:rPr>
            </w:pPr>
            <w:r>
              <w:rPr>
                <w:rFonts w:hint="default" w:ascii="Arial" w:hAnsi="Arial" w:cs="Arial"/>
                <w:bCs/>
                <w:sz w:val="20"/>
                <w:szCs w:val="21"/>
              </w:rPr>
              <w:t>Spatial-domain DL Tx beam prediction for Set A of beams based on measurement results of Set B of beams (“BM-Case1”)</w:t>
            </w:r>
          </w:p>
          <w:p>
            <w:pPr>
              <w:numPr>
                <w:ilvl w:val="1"/>
                <w:numId w:val="6"/>
              </w:numPr>
              <w:spacing w:after="0"/>
              <w:rPr>
                <w:rFonts w:hint="default" w:ascii="Arial" w:hAnsi="Arial" w:cs="Arial"/>
                <w:bCs/>
                <w:sz w:val="20"/>
                <w:szCs w:val="21"/>
              </w:rPr>
            </w:pPr>
            <w:r>
              <w:rPr>
                <w:rFonts w:hint="default" w:ascii="Arial" w:hAnsi="Arial" w:cs="Arial"/>
                <w:bCs/>
                <w:sz w:val="20"/>
                <w:szCs w:val="21"/>
              </w:rPr>
              <w:t>Temporal DL Tx beam prediction for Set A of beams based on the historic measurement results of Set B of beams (“BM-Case2”)</w:t>
            </w:r>
          </w:p>
          <w:p>
            <w:pPr>
              <w:numPr>
                <w:ilvl w:val="1"/>
                <w:numId w:val="6"/>
              </w:numPr>
              <w:spacing w:after="0"/>
              <w:rPr>
                <w:rFonts w:hint="default" w:ascii="Arial" w:hAnsi="Arial" w:cs="Arial"/>
                <w:bCs/>
                <w:sz w:val="20"/>
                <w:szCs w:val="21"/>
              </w:rPr>
            </w:pPr>
            <w:r>
              <w:rPr>
                <w:rFonts w:hint="default" w:ascii="Arial" w:hAnsi="Arial" w:cs="Arial"/>
                <w:bCs/>
                <w:sz w:val="20"/>
                <w:szCs w:val="21"/>
              </w:rPr>
              <w:t>Specify necessary signalling/mechanism(s) to facilitate LCM operations specific to the Beam Management use cases, if any</w:t>
            </w:r>
          </w:p>
          <w:p>
            <w:pPr>
              <w:numPr>
                <w:ilvl w:val="1"/>
                <w:numId w:val="6"/>
              </w:numPr>
              <w:spacing w:after="0"/>
              <w:rPr>
                <w:rFonts w:hint="default" w:ascii="Arial" w:hAnsi="Arial" w:cs="Arial"/>
                <w:bCs/>
                <w:sz w:val="20"/>
                <w:szCs w:val="21"/>
              </w:rPr>
            </w:pPr>
            <w:r>
              <w:rPr>
                <w:rFonts w:hint="default" w:ascii="Arial" w:hAnsi="Arial" w:cs="Arial"/>
                <w:bCs/>
                <w:sz w:val="20"/>
                <w:szCs w:val="21"/>
              </w:rPr>
              <w:t xml:space="preserve">Enabling method(s) to ensure consistency between training and inference regarding NW-side additional conditions (if identified) for inference at UE </w:t>
            </w:r>
          </w:p>
          <w:p>
            <w:pPr>
              <w:spacing w:after="0"/>
              <w:ind w:left="360" w:firstLine="720"/>
              <w:rPr>
                <w:rFonts w:hint="default" w:ascii="Arial" w:hAnsi="Arial" w:cs="Arial"/>
                <w:bCs/>
                <w:sz w:val="20"/>
                <w:szCs w:val="21"/>
              </w:rPr>
            </w:pPr>
            <w:r>
              <w:rPr>
                <w:rFonts w:hint="default" w:ascii="Arial" w:hAnsi="Arial" w:cs="Arial"/>
                <w:bCs/>
                <w:sz w:val="20"/>
                <w:szCs w:val="21"/>
              </w:rPr>
              <w:t>NOTE: Strive for common framework design to support both BM-Case1 and BM-Case2</w:t>
            </w:r>
          </w:p>
          <w:p>
            <w:pPr>
              <w:spacing w:after="0"/>
              <w:ind w:left="720"/>
              <w:rPr>
                <w:rFonts w:hint="default" w:ascii="Arial" w:hAnsi="Arial" w:cs="Arial"/>
                <w:bCs/>
                <w:sz w:val="20"/>
                <w:szCs w:val="21"/>
              </w:rPr>
            </w:pPr>
          </w:p>
          <w:p>
            <w:pPr>
              <w:numPr>
                <w:ilvl w:val="0"/>
                <w:numId w:val="6"/>
              </w:numPr>
              <w:spacing w:after="0"/>
              <w:rPr>
                <w:rFonts w:hint="default" w:ascii="Arial" w:hAnsi="Arial" w:cs="Arial"/>
                <w:bCs/>
                <w:sz w:val="20"/>
                <w:szCs w:val="21"/>
              </w:rPr>
            </w:pPr>
            <w:r>
              <w:rPr>
                <w:rFonts w:hint="default" w:ascii="Arial" w:hAnsi="Arial" w:cs="Arial"/>
                <w:bCs/>
                <w:sz w:val="20"/>
                <w:szCs w:val="21"/>
              </w:rPr>
              <w:t>Positioning accuracy enhancements, encompassing [RAN1/RAN2/RAN3]:</w:t>
            </w:r>
          </w:p>
          <w:p>
            <w:pPr>
              <w:numPr>
                <w:ilvl w:val="1"/>
                <w:numId w:val="6"/>
              </w:numPr>
              <w:spacing w:after="0"/>
              <w:rPr>
                <w:rFonts w:hint="default" w:ascii="Arial" w:hAnsi="Arial" w:cs="Arial"/>
                <w:bCs/>
                <w:sz w:val="20"/>
                <w:szCs w:val="21"/>
              </w:rPr>
            </w:pPr>
            <w:r>
              <w:rPr>
                <w:rFonts w:hint="default" w:ascii="Arial" w:hAnsi="Arial" w:cs="Arial"/>
                <w:bCs/>
                <w:sz w:val="20"/>
                <w:szCs w:val="21"/>
              </w:rPr>
              <w:t>Direct AI/ML positioning:</w:t>
            </w:r>
          </w:p>
          <w:p>
            <w:pPr>
              <w:numPr>
                <w:ilvl w:val="2"/>
                <w:numId w:val="6"/>
              </w:numPr>
              <w:spacing w:after="0"/>
              <w:rPr>
                <w:rFonts w:hint="default" w:ascii="Arial" w:hAnsi="Arial" w:cs="Arial"/>
                <w:bCs/>
                <w:sz w:val="20"/>
                <w:szCs w:val="21"/>
                <w:highlight w:val="none"/>
              </w:rPr>
            </w:pPr>
            <w:r>
              <w:rPr>
                <w:rFonts w:hint="default" w:ascii="Arial" w:hAnsi="Arial" w:cs="Arial"/>
                <w:bCs/>
                <w:sz w:val="20"/>
                <w:szCs w:val="21"/>
                <w:highlight w:val="none"/>
              </w:rPr>
              <w:t>(1</w:t>
            </w:r>
            <w:r>
              <w:rPr>
                <w:rFonts w:hint="default" w:ascii="Arial" w:hAnsi="Arial" w:cs="Arial"/>
                <w:bCs/>
                <w:sz w:val="20"/>
                <w:szCs w:val="21"/>
                <w:highlight w:val="none"/>
                <w:vertAlign w:val="superscript"/>
              </w:rPr>
              <w:t>st</w:t>
            </w:r>
            <w:r>
              <w:rPr>
                <w:rFonts w:hint="default" w:ascii="Arial" w:hAnsi="Arial" w:cs="Arial"/>
                <w:bCs/>
                <w:sz w:val="20"/>
                <w:szCs w:val="21"/>
                <w:highlight w:val="none"/>
              </w:rPr>
              <w:t xml:space="preserve"> priority) Case 1: </w:t>
            </w:r>
            <w:r>
              <w:rPr>
                <w:rFonts w:hint="default" w:ascii="Arial" w:hAnsi="Arial" w:cs="Arial"/>
                <w:sz w:val="20"/>
                <w:szCs w:val="21"/>
                <w:highlight w:val="none"/>
              </w:rPr>
              <w:t>UE-based positioning with UE-side model, direct AI/ML positioning</w:t>
            </w:r>
          </w:p>
          <w:p>
            <w:pPr>
              <w:numPr>
                <w:ilvl w:val="2"/>
                <w:numId w:val="6"/>
              </w:numPr>
              <w:spacing w:after="0"/>
              <w:rPr>
                <w:rFonts w:hint="default" w:ascii="Arial" w:hAnsi="Arial" w:cs="Arial"/>
                <w:bCs/>
                <w:sz w:val="20"/>
                <w:szCs w:val="21"/>
              </w:rPr>
            </w:pPr>
            <w:r>
              <w:rPr>
                <w:rFonts w:hint="default" w:ascii="Arial" w:hAnsi="Arial" w:cs="Arial"/>
                <w:bCs/>
                <w:sz w:val="20"/>
                <w:szCs w:val="21"/>
              </w:rPr>
              <w:t>(2</w:t>
            </w:r>
            <w:r>
              <w:rPr>
                <w:rFonts w:hint="default" w:ascii="Arial" w:hAnsi="Arial" w:cs="Arial"/>
                <w:bCs/>
                <w:sz w:val="20"/>
                <w:szCs w:val="21"/>
                <w:vertAlign w:val="superscript"/>
              </w:rPr>
              <w:t>nd</w:t>
            </w:r>
            <w:r>
              <w:rPr>
                <w:rFonts w:hint="default" w:ascii="Arial" w:hAnsi="Arial" w:cs="Arial"/>
                <w:bCs/>
                <w:sz w:val="20"/>
                <w:szCs w:val="21"/>
              </w:rPr>
              <w:t xml:space="preserve"> priority) Case 2b: </w:t>
            </w:r>
            <w:r>
              <w:rPr>
                <w:rFonts w:hint="default" w:ascii="Arial" w:hAnsi="Arial" w:cs="Arial"/>
                <w:sz w:val="20"/>
                <w:szCs w:val="21"/>
              </w:rPr>
              <w:t>UE-assisted/LMF-based positioning with LMF-side model, direct AI/ML positioning</w:t>
            </w:r>
          </w:p>
          <w:p>
            <w:pPr>
              <w:numPr>
                <w:ilvl w:val="2"/>
                <w:numId w:val="6"/>
              </w:numPr>
              <w:spacing w:after="0"/>
              <w:rPr>
                <w:rFonts w:hint="default" w:ascii="Arial" w:hAnsi="Arial" w:cs="Arial"/>
                <w:bCs/>
                <w:sz w:val="20"/>
                <w:szCs w:val="21"/>
              </w:rPr>
            </w:pPr>
            <w:r>
              <w:rPr>
                <w:rFonts w:hint="default" w:ascii="Arial" w:hAnsi="Arial" w:cs="Arial"/>
                <w:bCs/>
                <w:sz w:val="20"/>
                <w:szCs w:val="21"/>
              </w:rPr>
              <w:t>(1</w:t>
            </w:r>
            <w:r>
              <w:rPr>
                <w:rFonts w:hint="default" w:ascii="Arial" w:hAnsi="Arial" w:cs="Arial"/>
                <w:bCs/>
                <w:sz w:val="20"/>
                <w:szCs w:val="21"/>
                <w:vertAlign w:val="superscript"/>
              </w:rPr>
              <w:t>st</w:t>
            </w:r>
            <w:r>
              <w:rPr>
                <w:rFonts w:hint="default" w:ascii="Arial" w:hAnsi="Arial" w:cs="Arial"/>
                <w:bCs/>
                <w:sz w:val="20"/>
                <w:szCs w:val="21"/>
              </w:rPr>
              <w:t xml:space="preserve"> priority) Case 3b:</w:t>
            </w:r>
            <w:r>
              <w:rPr>
                <w:rFonts w:hint="default" w:ascii="Arial" w:hAnsi="Arial" w:cs="Arial"/>
                <w:sz w:val="20"/>
                <w:szCs w:val="21"/>
              </w:rPr>
              <w:t xml:space="preserve"> NG-RAN node assisted positioning with LMF-side model, direct AI/ML positioning</w:t>
            </w:r>
          </w:p>
          <w:p>
            <w:pPr>
              <w:numPr>
                <w:ilvl w:val="1"/>
                <w:numId w:val="6"/>
              </w:numPr>
              <w:spacing w:after="0"/>
              <w:rPr>
                <w:rFonts w:hint="default" w:ascii="Arial" w:hAnsi="Arial" w:cs="Arial"/>
                <w:bCs/>
                <w:sz w:val="20"/>
                <w:szCs w:val="21"/>
              </w:rPr>
            </w:pPr>
            <w:r>
              <w:rPr>
                <w:rFonts w:hint="default" w:ascii="Arial" w:hAnsi="Arial" w:cs="Arial"/>
                <w:bCs/>
                <w:sz w:val="20"/>
                <w:szCs w:val="21"/>
              </w:rPr>
              <w:t xml:space="preserve">AI/ML assisted positioning </w:t>
            </w:r>
            <w:r>
              <w:rPr>
                <w:rFonts w:hint="default" w:ascii="Arial" w:hAnsi="Arial" w:cs="Arial"/>
                <w:bCs/>
                <w:sz w:val="20"/>
                <w:szCs w:val="21"/>
              </w:rPr>
              <w:tab/>
            </w:r>
            <w:r>
              <w:rPr>
                <w:rFonts w:hint="default" w:ascii="Arial" w:hAnsi="Arial" w:cs="Arial"/>
                <w:bCs/>
                <w:sz w:val="20"/>
                <w:szCs w:val="21"/>
              </w:rPr>
              <w:tab/>
            </w:r>
            <w:r>
              <w:rPr>
                <w:rFonts w:hint="default" w:ascii="Arial" w:hAnsi="Arial" w:cs="Arial"/>
                <w:bCs/>
                <w:sz w:val="20"/>
                <w:szCs w:val="21"/>
              </w:rPr>
              <w:t xml:space="preserve"> </w:t>
            </w:r>
          </w:p>
          <w:p>
            <w:pPr>
              <w:numPr>
                <w:ilvl w:val="2"/>
                <w:numId w:val="6"/>
              </w:numPr>
              <w:spacing w:after="0"/>
              <w:rPr>
                <w:rFonts w:hint="default" w:ascii="Arial" w:hAnsi="Arial" w:cs="Arial"/>
                <w:bCs/>
                <w:color w:val="BFBFBF"/>
                <w:sz w:val="20"/>
                <w:szCs w:val="21"/>
              </w:rPr>
            </w:pPr>
            <w:r>
              <w:rPr>
                <w:rFonts w:hint="default" w:ascii="Arial" w:hAnsi="Arial" w:cs="Arial"/>
                <w:bCs/>
                <w:sz w:val="20"/>
                <w:szCs w:val="21"/>
              </w:rPr>
              <w:t>(2</w:t>
            </w:r>
            <w:r>
              <w:rPr>
                <w:rFonts w:hint="default" w:ascii="Arial" w:hAnsi="Arial" w:cs="Arial"/>
                <w:bCs/>
                <w:sz w:val="20"/>
                <w:szCs w:val="21"/>
                <w:vertAlign w:val="superscript"/>
              </w:rPr>
              <w:t>nd</w:t>
            </w:r>
            <w:r>
              <w:rPr>
                <w:rFonts w:hint="default" w:ascii="Arial" w:hAnsi="Arial" w:cs="Arial"/>
                <w:bCs/>
                <w:sz w:val="20"/>
                <w:szCs w:val="21"/>
              </w:rPr>
              <w:t xml:space="preserve"> priority) Case 2a: </w:t>
            </w:r>
            <w:r>
              <w:rPr>
                <w:rFonts w:hint="default" w:ascii="Arial" w:hAnsi="Arial" w:cs="Arial"/>
                <w:sz w:val="20"/>
                <w:szCs w:val="21"/>
              </w:rPr>
              <w:t>UE-assisted/LMF-based positioning with UE-side model, AI/ML assisted positioning</w:t>
            </w:r>
            <w:r>
              <w:rPr>
                <w:rFonts w:hint="default" w:ascii="Arial" w:hAnsi="Arial" w:cs="Arial"/>
                <w:bCs/>
                <w:color w:val="BFBFBF"/>
                <w:sz w:val="20"/>
                <w:szCs w:val="21"/>
              </w:rPr>
              <w:tab/>
            </w:r>
          </w:p>
          <w:p>
            <w:pPr>
              <w:numPr>
                <w:ilvl w:val="2"/>
                <w:numId w:val="6"/>
              </w:numPr>
              <w:spacing w:after="0"/>
              <w:rPr>
                <w:rFonts w:hint="default" w:ascii="Arial" w:hAnsi="Arial" w:cs="Arial"/>
                <w:bCs/>
                <w:sz w:val="20"/>
                <w:szCs w:val="21"/>
              </w:rPr>
            </w:pPr>
            <w:r>
              <w:rPr>
                <w:rFonts w:hint="default" w:ascii="Arial" w:hAnsi="Arial" w:cs="Arial"/>
                <w:bCs/>
                <w:sz w:val="20"/>
                <w:szCs w:val="21"/>
              </w:rPr>
              <w:t>(1</w:t>
            </w:r>
            <w:r>
              <w:rPr>
                <w:rFonts w:hint="default" w:ascii="Arial" w:hAnsi="Arial" w:cs="Arial"/>
                <w:bCs/>
                <w:sz w:val="20"/>
                <w:szCs w:val="21"/>
                <w:vertAlign w:val="superscript"/>
              </w:rPr>
              <w:t>st</w:t>
            </w:r>
            <w:r>
              <w:rPr>
                <w:rFonts w:hint="default" w:ascii="Arial" w:hAnsi="Arial" w:cs="Arial"/>
                <w:bCs/>
                <w:sz w:val="20"/>
                <w:szCs w:val="21"/>
              </w:rPr>
              <w:t xml:space="preserve"> priority) Case 3a: </w:t>
            </w:r>
            <w:r>
              <w:rPr>
                <w:rFonts w:hint="default" w:ascii="Arial" w:hAnsi="Arial" w:cs="Arial"/>
                <w:sz w:val="20"/>
                <w:szCs w:val="21"/>
              </w:rPr>
              <w:t>NG-RAN node assisted positioning with gNB-side model, AI/ML assisted positioning</w:t>
            </w:r>
          </w:p>
          <w:p>
            <w:pPr>
              <w:numPr>
                <w:ilvl w:val="1"/>
                <w:numId w:val="6"/>
              </w:numPr>
              <w:spacing w:after="0"/>
              <w:rPr>
                <w:rFonts w:hint="default" w:ascii="Arial" w:hAnsi="Arial" w:cs="Arial"/>
                <w:bCs/>
                <w:sz w:val="20"/>
                <w:szCs w:val="21"/>
              </w:rPr>
            </w:pPr>
            <w:r>
              <w:rPr>
                <w:rFonts w:hint="default" w:ascii="Arial" w:hAnsi="Arial" w:cs="Arial"/>
                <w:bCs/>
                <w:sz w:val="20"/>
                <w:szCs w:val="21"/>
              </w:rPr>
              <w:t>Specify necessary measurements, signalling/mechanism(s) to facilitate LCM operations specific to the Positioning accuracy enhancements use cases, if any</w:t>
            </w:r>
          </w:p>
          <w:p>
            <w:pPr>
              <w:numPr>
                <w:ilvl w:val="1"/>
                <w:numId w:val="6"/>
              </w:numPr>
              <w:spacing w:after="0"/>
              <w:rPr>
                <w:rFonts w:hint="default" w:ascii="Arial" w:hAnsi="Arial" w:cs="Arial"/>
                <w:bCs/>
                <w:sz w:val="20"/>
                <w:szCs w:val="21"/>
              </w:rPr>
            </w:pPr>
            <w:r>
              <w:rPr>
                <w:rFonts w:hint="default" w:ascii="Arial" w:hAnsi="Arial" w:cs="Arial"/>
                <w:bCs/>
                <w:sz w:val="20"/>
                <w:szCs w:val="21"/>
              </w:rPr>
              <w:t>Investigate and specify the necessary signalling of necessary measurement enhancements (if any)</w:t>
            </w:r>
          </w:p>
          <w:p>
            <w:pPr>
              <w:numPr>
                <w:ilvl w:val="1"/>
                <w:numId w:val="6"/>
              </w:numPr>
              <w:spacing w:after="0"/>
              <w:rPr>
                <w:rFonts w:hint="default" w:ascii="Arial" w:hAnsi="Arial" w:eastAsia="宋体" w:cs="Arial"/>
                <w:kern w:val="0"/>
                <w:sz w:val="20"/>
                <w:szCs w:val="20"/>
                <w:lang w:val="en-GB" w:eastAsia="en-GB"/>
              </w:rPr>
            </w:pPr>
            <w:r>
              <w:rPr>
                <w:rFonts w:hint="default" w:ascii="Arial" w:hAnsi="Arial" w:cs="Arial"/>
                <w:bCs/>
                <w:sz w:val="20"/>
                <w:szCs w:val="21"/>
              </w:rPr>
              <w:t>Enabling method(s) to ensure consistency between training and inference regarding NW-side additional conditions (if identified) for inference at UE for relevant positioning sub use cases</w:t>
            </w:r>
          </w:p>
        </w:tc>
      </w:tr>
    </w:tbl>
    <w:p>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lang w:val="en-US" w:eastAsia="zh-CN"/>
        </w:rPr>
        <w:t>As per chair</w:t>
      </w:r>
      <w:r>
        <w:rPr>
          <w:rFonts w:hint="default" w:ascii="Arial" w:hAnsi="Arial" w:eastAsia="宋体" w:cs="Arial"/>
          <w:kern w:val="0"/>
          <w:sz w:val="20"/>
          <w:szCs w:val="20"/>
          <w:lang w:val="en-US" w:eastAsia="zh-CN"/>
        </w:rPr>
        <w:t>’</w:t>
      </w:r>
      <w:r>
        <w:rPr>
          <w:rFonts w:hint="eastAsia" w:ascii="Arial" w:hAnsi="Arial" w:eastAsia="宋体" w:cs="Arial"/>
          <w:kern w:val="0"/>
          <w:sz w:val="20"/>
          <w:szCs w:val="20"/>
          <w:lang w:val="en-US" w:eastAsia="zh-CN"/>
        </w:rPr>
        <w:t xml:space="preserve">s guidance, </w:t>
      </w:r>
      <w:r>
        <w:rPr>
          <w:rFonts w:hint="eastAsia" w:ascii="Arial" w:hAnsi="Arial" w:eastAsia="宋体" w:cs="Arial"/>
          <w:kern w:val="0"/>
          <w:sz w:val="20"/>
          <w:szCs w:val="20"/>
        </w:rPr>
        <w:t>t</w:t>
      </w:r>
      <w:r>
        <w:rPr>
          <w:rFonts w:ascii="Arial" w:hAnsi="Arial" w:eastAsia="宋体" w:cs="Arial"/>
          <w:kern w:val="0"/>
          <w:sz w:val="20"/>
          <w:szCs w:val="20"/>
          <w:lang w:val="en-GB"/>
        </w:rPr>
        <w:t>his contribution</w:t>
      </w:r>
      <w:r>
        <w:rPr>
          <w:rFonts w:ascii="Arial" w:hAnsi="Arial" w:cs="Arial"/>
          <w:sz w:val="20"/>
          <w:szCs w:val="20"/>
        </w:rPr>
        <w:t xml:space="preserve"> </w:t>
      </w:r>
      <w:r>
        <w:rPr>
          <w:rFonts w:hint="eastAsia" w:ascii="Arial" w:hAnsi="Arial" w:cs="Arial"/>
          <w:sz w:val="20"/>
          <w:szCs w:val="20"/>
        </w:rPr>
        <w:t xml:space="preserve">will </w:t>
      </w:r>
      <w:r>
        <w:rPr>
          <w:rFonts w:hint="eastAsia" w:ascii="Arial" w:hAnsi="Arial" w:eastAsia="宋体" w:cs="Arial"/>
          <w:kern w:val="0"/>
          <w:sz w:val="20"/>
          <w:szCs w:val="20"/>
          <w:lang w:val="en-US" w:eastAsia="zh-CN"/>
        </w:rPr>
        <w:t>focus</w:t>
      </w:r>
      <w:r>
        <w:rPr>
          <w:rFonts w:hint="eastAsia" w:ascii="Arial" w:hAnsi="Arial" w:eastAsia="宋体" w:cs="Arial"/>
          <w:kern w:val="0"/>
          <w:sz w:val="20"/>
          <w:szCs w:val="20"/>
        </w:rPr>
        <w:t xml:space="preserve"> on </w:t>
      </w:r>
      <w:r>
        <w:rPr>
          <w:rFonts w:hint="eastAsia" w:ascii="Arial" w:hAnsi="Arial" w:eastAsia="宋体" w:cs="Arial"/>
          <w:kern w:val="0"/>
          <w:sz w:val="20"/>
          <w:szCs w:val="20"/>
          <w:lang w:val="en-US" w:eastAsia="zh-CN"/>
        </w:rPr>
        <w:t>the mechanisms and principles identified for data collection for network side model training during Rel-18</w:t>
      </w:r>
      <w:r>
        <w:rPr>
          <w:rFonts w:ascii="Arial" w:hAnsi="Arial" w:eastAsia="宋体" w:cs="Arial"/>
          <w:kern w:val="0"/>
          <w:sz w:val="20"/>
          <w:szCs w:val="20"/>
          <w:lang w:val="en-GB"/>
        </w:rPr>
        <w:t>.</w:t>
      </w:r>
    </w:p>
    <w:p>
      <w:pPr>
        <w:keepNext/>
        <w:keepLines/>
        <w:widowControl/>
        <w:numPr>
          <w:ilvl w:val="0"/>
          <w:numId w:val="7"/>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hint="eastAsia" w:ascii="Arial" w:hAnsi="Arial" w:eastAsia="宋体" w:cs="Arial"/>
          <w:kern w:val="0"/>
          <w:sz w:val="36"/>
          <w:szCs w:val="20"/>
        </w:rPr>
        <w:t>Discussion</w:t>
      </w:r>
    </w:p>
    <w:p>
      <w:pPr>
        <w:keepNext w:val="0"/>
        <w:keepLines w:val="0"/>
        <w:pageBreakBefore w:val="0"/>
        <w:widowControl w:val="0"/>
        <w:kinsoku/>
        <w:wordWrap/>
        <w:overflowPunct/>
        <w:topLinePunct w:val="0"/>
        <w:autoSpaceDE/>
        <w:autoSpaceDN/>
        <w:bidi w:val="0"/>
        <w:adjustRightInd/>
        <w:snapToGrid/>
        <w:spacing w:after="0" w:afterLines="50" w:line="240" w:lineRule="auto"/>
        <w:textAlignment w:val="auto"/>
        <w:rPr>
          <w:rFonts w:hint="eastAsia"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During R18 study phase, RAN2 captured the following principle for NW side data collection in TR 38.843 [2]:</w:t>
      </w:r>
    </w:p>
    <w:p>
      <w:pPr>
        <w:numPr>
          <w:ilvl w:val="0"/>
          <w:numId w:val="8"/>
        </w:numPr>
        <w:spacing w:before="120" w:beforeLines="50" w:after="120" w:line="260" w:lineRule="exact"/>
        <w:rPr>
          <w:rFonts w:hint="eastAsia"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UE to support data logging,</w:t>
      </w:r>
    </w:p>
    <w:p>
      <w:pPr>
        <w:numPr>
          <w:ilvl w:val="0"/>
          <w:numId w:val="8"/>
        </w:numPr>
        <w:spacing w:before="120" w:beforeLines="50" w:after="120" w:line="260" w:lineRule="exact"/>
        <w:rPr>
          <w:rFonts w:hint="eastAsia"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UE to report the collected data periodically, event-based, and on-demand,</w:t>
      </w:r>
    </w:p>
    <w:p>
      <w:pPr>
        <w:numPr>
          <w:ilvl w:val="0"/>
          <w:numId w:val="8"/>
        </w:numPr>
        <w:spacing w:before="120" w:beforeLines="50" w:after="120" w:line="260" w:lineRule="exact"/>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The UE memory, processing power, energy consumption, signalling overhead should be considered.</w:t>
      </w:r>
    </w:p>
    <w:p>
      <w:pPr>
        <w:widowControl w:val="0"/>
        <w:numPr>
          <w:ilvl w:val="0"/>
          <w:numId w:val="0"/>
        </w:numPr>
        <w:tabs>
          <w:tab w:val="left" w:pos="420"/>
        </w:tabs>
        <w:spacing w:before="120" w:beforeLines="50" w:after="120" w:line="260" w:lineRule="exact"/>
        <w:jc w:val="both"/>
        <w:rPr>
          <w:rFonts w:hint="eastAsia"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 xml:space="preserve">In addition, RAN2 analyzed the existing data collection mechanisms available in current RAN specifications for the UE to report measurements to another entity acting as termination point. </w:t>
      </w:r>
    </w:p>
    <w:p>
      <w:pPr>
        <w:numPr>
          <w:ilvl w:val="0"/>
          <w:numId w:val="8"/>
        </w:numPr>
        <w:spacing w:before="120" w:beforeLines="50" w:after="120" w:line="260" w:lineRule="exact"/>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Logged MDT</w:t>
      </w:r>
    </w:p>
    <w:p>
      <w:pPr>
        <w:numPr>
          <w:ilvl w:val="0"/>
          <w:numId w:val="8"/>
        </w:numPr>
        <w:spacing w:before="120" w:beforeLines="50" w:after="120" w:line="260" w:lineRule="exact"/>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Immediate MDT</w:t>
      </w:r>
    </w:p>
    <w:p>
      <w:pPr>
        <w:numPr>
          <w:ilvl w:val="0"/>
          <w:numId w:val="8"/>
        </w:numPr>
        <w:spacing w:before="120" w:beforeLines="50" w:after="120" w:line="260" w:lineRule="exact"/>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L3 measurement</w:t>
      </w:r>
    </w:p>
    <w:p>
      <w:pPr>
        <w:numPr>
          <w:ilvl w:val="0"/>
          <w:numId w:val="8"/>
        </w:numPr>
        <w:spacing w:before="120" w:beforeLines="50" w:after="120" w:line="260" w:lineRule="exact"/>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L1 measurement</w:t>
      </w:r>
    </w:p>
    <w:p>
      <w:pPr>
        <w:numPr>
          <w:ilvl w:val="0"/>
          <w:numId w:val="8"/>
        </w:numPr>
        <w:spacing w:before="120" w:beforeLines="50" w:after="120" w:line="260" w:lineRule="exact"/>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UE Assistance information (UAI)</w:t>
      </w:r>
    </w:p>
    <w:p>
      <w:pPr>
        <w:numPr>
          <w:ilvl w:val="0"/>
          <w:numId w:val="8"/>
        </w:numPr>
        <w:spacing w:before="120" w:beforeLines="50" w:after="120" w:line="260" w:lineRule="exact"/>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Early measurement</w:t>
      </w:r>
    </w:p>
    <w:p>
      <w:pPr>
        <w:numPr>
          <w:ilvl w:val="0"/>
          <w:numId w:val="8"/>
        </w:numPr>
        <w:spacing w:before="120" w:beforeLines="50" w:after="120" w:line="260" w:lineRule="exact"/>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LPP</w:t>
      </w:r>
    </w:p>
    <w:p>
      <w:pPr>
        <w:keepNext w:val="0"/>
        <w:keepLines w:val="0"/>
        <w:pageBreakBefore w:val="0"/>
        <w:widowControl w:val="0"/>
        <w:kinsoku/>
        <w:wordWrap/>
        <w:overflowPunct/>
        <w:topLinePunct w:val="0"/>
        <w:autoSpaceDE/>
        <w:autoSpaceDN/>
        <w:bidi w:val="0"/>
        <w:adjustRightInd/>
        <w:snapToGrid/>
        <w:spacing w:after="0" w:afterLines="50" w:line="240" w:lineRule="auto"/>
        <w:textAlignment w:val="auto"/>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RAN2 also studied the mapping of AI/ML functions to physical entities per use case. The details on model training for beam management and positioning with NW-sided model are as follows.</w:t>
      </w:r>
    </w:p>
    <w:p>
      <w:pPr>
        <w:numPr>
          <w:ilvl w:val="0"/>
          <w:numId w:val="8"/>
        </w:numPr>
        <w:spacing w:before="120" w:beforeLines="50" w:after="120" w:line="260" w:lineRule="exact"/>
        <w:rPr>
          <w:rFonts w:hint="eastAsia"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For beam management with gNB-sided model, training data can be generated by the gNB or UE, while the termination point for training data may include the gNB, or OAM.</w:t>
      </w:r>
    </w:p>
    <w:p>
      <w:pPr>
        <w:numPr>
          <w:ilvl w:val="0"/>
          <w:numId w:val="8"/>
        </w:numPr>
        <w:spacing w:before="120" w:beforeLines="50" w:after="120" w:line="260" w:lineRule="exact"/>
        <w:rPr>
          <w:rFonts w:hint="eastAsia"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For positioning with gNB-sided model, training data can be generated by the gNB, while the termination point for training data may include the gNB or OAM. RAN2 identified the case in which LMF may be used for gNB-sided model training but no conclusion was reached.</w:t>
      </w:r>
    </w:p>
    <w:p>
      <w:pPr>
        <w:numPr>
          <w:ilvl w:val="0"/>
          <w:numId w:val="8"/>
        </w:numPr>
        <w:spacing w:before="120" w:beforeLines="50" w:after="120" w:line="260" w:lineRule="exact"/>
        <w:rPr>
          <w:rFonts w:hint="eastAsia"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For positioning with LMF-sided model, training data can be generated by the gNB or UE, while the LMF is the termination point for training data.</w:t>
      </w:r>
    </w:p>
    <w:p>
      <w:pPr>
        <w:spacing w:afterLines="50"/>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During RAN1 discussion in last meeting, the majority supported to collect data for training via L3 signaling, since there is no latency requirements and data size is large.</w:t>
      </w:r>
    </w:p>
    <w:p>
      <w:pPr>
        <w:rPr>
          <w:rFonts w:hint="default"/>
          <w:lang w:val="en-US"/>
        </w:rPr>
      </w:pPr>
      <w:r>
        <w:rPr>
          <w:rFonts w:hint="eastAsia" w:ascii="Arial" w:hAnsi="Arial" w:eastAsia="宋体" w:cs="Arial"/>
          <w:b w:val="0"/>
          <w:bCs w:val="0"/>
          <w:sz w:val="20"/>
          <w:szCs w:val="20"/>
          <w:lang w:val="en-US" w:eastAsia="zh-CN"/>
        </w:rPr>
        <w:t>Based on the endorsed data collection mechanisms analysis table in TR 38.843 [2], we think MDT framework can be taken as baseline for network-sided model training due to the following considerations:</w:t>
      </w:r>
    </w:p>
    <w:p>
      <w:pPr>
        <w:numPr>
          <w:ilvl w:val="0"/>
          <w:numId w:val="8"/>
        </w:numPr>
        <w:spacing w:before="120" w:beforeLines="50" w:after="120" w:line="260" w:lineRule="exact"/>
        <w:rPr>
          <w:rFonts w:hint="eastAsia"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The data collected by MDT is aligned with beam management and positioning use cases, which includes L3 cell/beam measurements, location info, and sensor info, etc.</w:t>
      </w:r>
    </w:p>
    <w:p>
      <w:pPr>
        <w:numPr>
          <w:ilvl w:val="0"/>
          <w:numId w:val="8"/>
        </w:numPr>
        <w:spacing w:before="120" w:beforeLines="50" w:after="120" w:line="260" w:lineRule="exact"/>
        <w:rPr>
          <w:rFonts w:hint="eastAsia"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Support data collection in RRC_CONNECTED (immediate MDT).</w:t>
      </w:r>
    </w:p>
    <w:p>
      <w:pPr>
        <w:numPr>
          <w:ilvl w:val="0"/>
          <w:numId w:val="8"/>
        </w:numPr>
        <w:spacing w:before="120" w:beforeLines="50" w:after="120" w:line="260" w:lineRule="exact"/>
        <w:rPr>
          <w:rFonts w:hint="eastAsia"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Support data logging (Logged MDT).</w:t>
      </w:r>
    </w:p>
    <w:p>
      <w:pPr>
        <w:numPr>
          <w:ilvl w:val="0"/>
          <w:numId w:val="8"/>
        </w:numPr>
        <w:spacing w:before="120" w:beforeLines="50" w:after="120" w:line="260" w:lineRule="exact"/>
        <w:rPr>
          <w:rFonts w:hint="eastAsia"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Both AS security and user privacy are satisfied.</w:t>
      </w:r>
    </w:p>
    <w:p>
      <w:pPr>
        <w:numPr>
          <w:ilvl w:val="0"/>
          <w:numId w:val="8"/>
        </w:numPr>
        <w:spacing w:before="120" w:beforeLines="50" w:after="120" w:line="260" w:lineRule="exact"/>
        <w:rPr>
          <w:rFonts w:hint="eastAsia"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There is no latency requirements.</w:t>
      </w:r>
    </w:p>
    <w:p>
      <w:pPr>
        <w:numPr>
          <w:ilvl w:val="0"/>
          <w:numId w:val="8"/>
        </w:numPr>
        <w:spacing w:before="120" w:beforeLines="50" w:after="120" w:line="260" w:lineRule="exact"/>
        <w:rPr>
          <w:rFonts w:hint="eastAsia"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The data size for model training is larger than model inference and monitoring.</w:t>
      </w:r>
    </w:p>
    <w:p>
      <w:pPr>
        <w:numPr>
          <w:ilvl w:val="0"/>
          <w:numId w:val="8"/>
        </w:numPr>
        <w:spacing w:before="120" w:beforeLines="50" w:after="120" w:line="260" w:lineRule="exact"/>
        <w:rPr>
          <w:rFonts w:hint="eastAsia"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The collected data is terminated in TCE/OAM which can be also utilized by RAN.</w:t>
      </w:r>
    </w:p>
    <w:p>
      <w:pPr>
        <w:numPr>
          <w:ilvl w:val="0"/>
          <w:numId w:val="0"/>
        </w:numPr>
        <w:spacing w:before="120" w:beforeLines="50" w:after="120" w:line="240" w:lineRule="auto"/>
        <w:jc w:val="center"/>
        <w:rPr>
          <w:rFonts w:hint="eastAsia" w:ascii="Arial" w:hAnsi="Arial" w:eastAsia="宋体" w:cs="Arial"/>
          <w:b w:val="0"/>
          <w:bCs w:val="0"/>
          <w:sz w:val="20"/>
          <w:szCs w:val="20"/>
          <w:lang w:val="en-US" w:eastAsia="zh-CN"/>
        </w:rPr>
      </w:pPr>
      <w:r>
        <w:object>
          <v:shape id="_x0000_i1025" o:spt="75" type="#_x0000_t75" style="height:162.55pt;width:195.8pt;" o:ole="t" filled="f" o:preferrelative="t" stroked="f" coordsize="21600,21600">
            <v:path/>
            <v:fill on="f" focussize="0,0"/>
            <v:stroke on="f"/>
            <v:imagedata r:id="rId5" croptop="2938f" cropright="20201f" cropbottom="3815f" o:title=""/>
            <o:lock v:ext="edit" aspectratio="t"/>
            <w10:wrap type="none"/>
            <w10:anchorlock/>
          </v:shape>
          <o:OLEObject Type="Embed" ProgID="Visio.Drawing.15" ShapeID="_x0000_i1025" DrawAspect="Content" ObjectID="_1468075725" r:id="rId4">
            <o:LockedField>false</o:LockedField>
          </o:OLEObject>
        </w:object>
      </w:r>
      <w:r>
        <w:rPr>
          <w:rFonts w:hint="eastAsia"/>
          <w:lang w:val="en-US" w:eastAsia="zh-CN"/>
        </w:rPr>
        <w:t xml:space="preserve">  </w:t>
      </w:r>
      <w:r>
        <w:object>
          <v:shape id="_x0000_i1026" o:spt="75" type="#_x0000_t75" style="height:162pt;width:262.2pt;" o:ole="t" filled="f" o:preferrelative="t" stroked="f" coordsize="21600,21600">
            <v:path/>
            <v:fill on="f" focussize="0,0"/>
            <v:stroke on="f"/>
            <v:imagedata r:id="rId7" croptop="2938f" cropright="4827f" cropbottom="4014f" o:title=""/>
            <o:lock v:ext="edit" aspectratio="t"/>
            <w10:wrap type="none"/>
            <w10:anchorlock/>
          </v:shape>
          <o:OLEObject Type="Embed" ProgID="Visio.Drawing.15" ShapeID="_x0000_i1026" DrawAspect="Content" ObjectID="_1468075726" r:id="rId6">
            <o:LockedField>false</o:LockedField>
          </o:OLEObject>
        </w:object>
      </w:r>
    </w:p>
    <w:p>
      <w:pPr>
        <w:numPr>
          <w:ilvl w:val="0"/>
          <w:numId w:val="9"/>
        </w:numPr>
        <w:spacing w:before="120" w:beforeLines="50" w:after="120" w:line="260" w:lineRule="exact"/>
        <w:ind w:firstLine="1200" w:firstLineChars="600"/>
        <w:jc w:val="both"/>
        <w:rPr>
          <w:rFonts w:hint="eastAsia"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Logged MDT                                    b) Immediate MDT</w:t>
      </w:r>
    </w:p>
    <w:p>
      <w:pPr>
        <w:numPr>
          <w:ilvl w:val="0"/>
          <w:numId w:val="0"/>
        </w:numPr>
        <w:spacing w:before="120" w:beforeLines="50" w:after="120" w:line="260" w:lineRule="exact"/>
        <w:jc w:val="center"/>
        <w:rPr>
          <w:rFonts w:hint="eastAsia"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Figure 1. Basic flow for legacy MDT procedure</w:t>
      </w:r>
    </w:p>
    <w:p>
      <w:pPr>
        <w:numPr>
          <w:ilvl w:val="0"/>
          <w:numId w:val="0"/>
        </w:numPr>
        <w:spacing w:before="120" w:beforeLines="50" w:after="120" w:line="260" w:lineRule="exact"/>
        <w:rPr>
          <w:rFonts w:hint="eastAsia"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 xml:space="preserve">Based on the analysis above, we think the key point is to support data logging for RRC_CONNECTED UE in R19, thus the enhancements on the existing MDT framework is needed, e.g. the combination of legacy logged MDT and immediate MDT. In addition, the data collection mechanism should support the UE to report the collected data periodically, event-based, and on-demand. </w:t>
      </w:r>
    </w:p>
    <w:p>
      <w:pPr>
        <w:numPr>
          <w:ilvl w:val="0"/>
          <w:numId w:val="0"/>
        </w:numPr>
        <w:spacing w:before="120" w:beforeLines="50" w:after="120" w:line="260" w:lineRule="exact"/>
        <w:rPr>
          <w:rFonts w:hint="default" w:ascii="Arial" w:hAnsi="Arial" w:eastAsia="宋体" w:cs="Arial"/>
          <w:b/>
          <w:bCs/>
          <w:sz w:val="20"/>
          <w:szCs w:val="20"/>
          <w:lang w:val="en-US" w:eastAsia="zh-CN"/>
        </w:rPr>
      </w:pPr>
      <w:r>
        <w:rPr>
          <w:rFonts w:hint="eastAsia" w:ascii="Arial" w:hAnsi="Arial" w:eastAsia="宋体" w:cs="Arial"/>
          <w:b/>
          <w:bCs/>
          <w:sz w:val="20"/>
          <w:szCs w:val="20"/>
          <w:lang w:val="en-US" w:eastAsia="zh-CN"/>
        </w:rPr>
        <w:t>Proposal 1: The data collection framework for network-sided model training should support the data logging for RRC_CONNECTED UE.</w:t>
      </w:r>
    </w:p>
    <w:p>
      <w:pPr>
        <w:keepNext w:val="0"/>
        <w:keepLines w:val="0"/>
        <w:pageBreakBefore w:val="0"/>
        <w:widowControl w:val="0"/>
        <w:kinsoku/>
        <w:wordWrap/>
        <w:overflowPunct/>
        <w:topLinePunct w:val="0"/>
        <w:autoSpaceDE/>
        <w:autoSpaceDN/>
        <w:bidi w:val="0"/>
        <w:adjustRightInd/>
        <w:snapToGrid/>
        <w:spacing w:after="0" w:afterLines="50" w:line="240" w:lineRule="auto"/>
        <w:textAlignment w:val="auto"/>
        <w:rPr>
          <w:rFonts w:hint="eastAsia"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During R18 study, RAN2 agreed to consider both gNB and OAM-centric data collection mechanisms for training of network-side models.</w:t>
      </w:r>
    </w:p>
    <w:p>
      <w:pPr>
        <w:numPr>
          <w:ilvl w:val="0"/>
          <w:numId w:val="8"/>
        </w:numPr>
        <w:spacing w:before="120" w:beforeLines="50" w:after="120" w:line="260" w:lineRule="exact"/>
        <w:rPr>
          <w:rFonts w:hint="eastAsia"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The gNB-centric data collection implies that the gNB can configure the UE to initiate/terminate the data collection procedure.</w:t>
      </w:r>
    </w:p>
    <w:p>
      <w:pPr>
        <w:numPr>
          <w:ilvl w:val="0"/>
          <w:numId w:val="8"/>
        </w:numPr>
        <w:spacing w:before="120" w:beforeLines="50" w:after="120" w:line="260" w:lineRule="exact"/>
        <w:rPr>
          <w:rFonts w:hint="eastAsia"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The OAM-centric data collection implies that the OAM can configure the UE to initiate/terminate the data collection procedure.</w:t>
      </w:r>
    </w:p>
    <w:p>
      <w:pPr>
        <w:numPr>
          <w:ilvl w:val="0"/>
          <w:numId w:val="0"/>
        </w:numPr>
        <w:spacing w:before="120" w:beforeLines="50" w:after="120" w:line="260" w:lineRule="exact"/>
        <w:rPr>
          <w:rFonts w:hint="eastAsia"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Similarly, the LMF-centric data collection can be considered for LMF-sided model training, i.e. LMF can configure the UE to initiate/terminate the data collection procedure.</w:t>
      </w:r>
    </w:p>
    <w:p>
      <w:pPr>
        <w:numPr>
          <w:ilvl w:val="0"/>
          <w:numId w:val="0"/>
        </w:numPr>
        <w:spacing w:before="120" w:beforeLines="50" w:after="120" w:line="260" w:lineRule="exact"/>
        <w:rPr>
          <w:rFonts w:hint="eastAsia"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In legacy MDT framework, the procedure is always initiated/terminated by OAM. However, the gNB, OAM, LMF can initiate/terminate the data collection precedure for NW-sided model training. Therefore, we prefer to introduce a new data collection framework for AI/ML, which can include the gNB/OAM/LMF-centirc data collection, and take legacy MDT as baseline. Furthermore, we think the same signaling/configuration over the air interface can be reused for gNB-centric and OAM-centric or LMF-centric data collection. We also provide a basic flow for new data collection framework for network-sided model training as illustrated in Figure 2.</w:t>
      </w:r>
    </w:p>
    <w:p>
      <w:pPr>
        <w:numPr>
          <w:ilvl w:val="0"/>
          <w:numId w:val="0"/>
        </w:numPr>
        <w:spacing w:before="120" w:beforeLines="50" w:after="120" w:line="240" w:lineRule="auto"/>
        <w:jc w:val="center"/>
      </w:pPr>
      <w:r>
        <w:object>
          <v:shape id="_x0000_i1027" o:spt="75" type="#_x0000_t75" style="height:180.25pt;width:221.15pt;" o:ole="t" filled="f" o:preferrelative="t" stroked="f" coordsize="21600,21600">
            <v:path/>
            <v:fill on="f" focussize="0,0"/>
            <v:stroke on="f"/>
            <v:imagedata r:id="rId9" croptop="6738f" cropright="21069f" cropbottom="2189f" o:title=""/>
            <o:lock v:ext="edit" aspectratio="t"/>
            <w10:wrap type="none"/>
            <w10:anchorlock/>
          </v:shape>
          <o:OLEObject Type="Embed" ProgID="Visio.Drawing.15" ShapeID="_x0000_i1027" DrawAspect="Content" ObjectID="_1468075727" r:id="rId8">
            <o:LockedField>false</o:LockedField>
          </o:OLEObject>
        </w:object>
      </w:r>
    </w:p>
    <w:p>
      <w:pPr>
        <w:numPr>
          <w:ilvl w:val="0"/>
          <w:numId w:val="0"/>
        </w:numPr>
        <w:spacing w:before="120" w:beforeLines="50" w:after="120" w:line="240" w:lineRule="auto"/>
        <w:jc w:val="center"/>
        <w:rPr>
          <w:rFonts w:hint="default" w:eastAsiaTheme="minorEastAsia"/>
          <w:lang w:val="en-US" w:eastAsia="zh-CN"/>
        </w:rPr>
      </w:pPr>
      <w:r>
        <w:rPr>
          <w:rFonts w:hint="eastAsia" w:ascii="Arial" w:hAnsi="Arial" w:eastAsia="宋体" w:cs="Arial"/>
          <w:b w:val="0"/>
          <w:bCs w:val="0"/>
          <w:sz w:val="20"/>
          <w:szCs w:val="20"/>
          <w:lang w:val="en-US" w:eastAsia="zh-CN"/>
        </w:rPr>
        <w:t>Figure 2. Basic flow for new data collection framework for network-sided model training</w:t>
      </w:r>
    </w:p>
    <w:p>
      <w:pPr>
        <w:numPr>
          <w:ilvl w:val="0"/>
          <w:numId w:val="0"/>
        </w:numPr>
        <w:spacing w:before="120" w:beforeLines="50" w:after="120" w:line="260" w:lineRule="exact"/>
        <w:rPr>
          <w:rFonts w:hint="default" w:ascii="Arial" w:hAnsi="Arial" w:eastAsia="宋体" w:cs="Arial"/>
          <w:b/>
          <w:bCs/>
          <w:sz w:val="20"/>
          <w:szCs w:val="20"/>
          <w:lang w:val="en-US" w:eastAsia="zh-CN"/>
        </w:rPr>
      </w:pPr>
      <w:r>
        <w:rPr>
          <w:rFonts w:hint="eastAsia" w:ascii="Arial" w:hAnsi="Arial" w:eastAsia="宋体" w:cs="Arial"/>
          <w:b/>
          <w:bCs/>
          <w:sz w:val="20"/>
          <w:szCs w:val="20"/>
          <w:lang w:val="en-US" w:eastAsia="zh-CN"/>
        </w:rPr>
        <w:t>Proposal 2: For data collection for network-sided model training, RAN2 consider to introduce a new data collection framework taken the legacy MDT as baseline, which includes gNB-centric, OAM-centric and LMF-centric data collection.</w:t>
      </w:r>
    </w:p>
    <w:p>
      <w:pPr>
        <w:spacing w:before="120" w:beforeLines="50" w:after="120" w:line="260" w:lineRule="exact"/>
        <w:rPr>
          <w:rFonts w:hint="default" w:ascii="Arial" w:hAnsi="Arial" w:cs="Arial" w:eastAsiaTheme="minorEastAsia"/>
          <w:bCs/>
          <w:sz w:val="20"/>
          <w:szCs w:val="20"/>
          <w:lang w:val="en-US" w:eastAsia="zh-CN"/>
        </w:rPr>
      </w:pPr>
      <w:r>
        <w:rPr>
          <w:rFonts w:hint="eastAsia" w:ascii="Arial" w:hAnsi="Arial" w:cs="Arial"/>
          <w:bCs/>
          <w:sz w:val="20"/>
          <w:szCs w:val="20"/>
        </w:rPr>
        <w:t xml:space="preserve">For the content of </w:t>
      </w:r>
      <w:r>
        <w:rPr>
          <w:rFonts w:hint="eastAsia" w:ascii="Arial" w:hAnsi="Arial" w:cs="Arial"/>
          <w:bCs/>
          <w:sz w:val="20"/>
          <w:szCs w:val="20"/>
          <w:lang w:val="en-US" w:eastAsia="zh-CN"/>
        </w:rPr>
        <w:t xml:space="preserve">collected </w:t>
      </w:r>
      <w:r>
        <w:rPr>
          <w:rFonts w:hint="eastAsia" w:ascii="Arial" w:hAnsi="Arial" w:cs="Arial"/>
          <w:bCs/>
          <w:sz w:val="20"/>
          <w:szCs w:val="20"/>
        </w:rPr>
        <w:t>data</w:t>
      </w:r>
      <w:r>
        <w:rPr>
          <w:rFonts w:hint="eastAsia" w:ascii="Arial" w:hAnsi="Arial" w:cs="Arial"/>
          <w:bCs/>
          <w:sz w:val="20"/>
          <w:szCs w:val="20"/>
          <w:lang w:val="en-US" w:eastAsia="zh-CN"/>
        </w:rPr>
        <w:t xml:space="preserve"> for model training per use case</w:t>
      </w:r>
      <w:r>
        <w:rPr>
          <w:rFonts w:hint="eastAsia" w:ascii="Arial" w:hAnsi="Arial" w:cs="Arial"/>
          <w:bCs/>
          <w:sz w:val="20"/>
          <w:szCs w:val="20"/>
        </w:rPr>
        <w:t xml:space="preserve">, RAN1 Reply LS </w:t>
      </w:r>
      <w:r>
        <w:rPr>
          <w:rFonts w:hint="eastAsia" w:ascii="Arial" w:hAnsi="Arial" w:cs="Arial"/>
          <w:bCs/>
          <w:sz w:val="20"/>
          <w:szCs w:val="20"/>
          <w:lang w:val="en-US" w:eastAsia="zh-CN"/>
        </w:rPr>
        <w:t xml:space="preserve">on Data Collection Requirements and Assumptions (R2-2311720) in R18 </w:t>
      </w:r>
      <w:r>
        <w:rPr>
          <w:rFonts w:hint="eastAsia" w:ascii="Arial" w:hAnsi="Arial" w:cs="Arial"/>
          <w:bCs/>
          <w:sz w:val="20"/>
          <w:szCs w:val="20"/>
        </w:rPr>
        <w:t>could be the baseline.</w:t>
      </w:r>
      <w:r>
        <w:rPr>
          <w:rFonts w:hint="eastAsia" w:ascii="Arial" w:hAnsi="Arial" w:cs="Arial"/>
          <w:bCs/>
          <w:sz w:val="20"/>
          <w:szCs w:val="20"/>
          <w:lang w:val="en-US" w:eastAsia="zh-CN"/>
        </w:rPr>
        <w:t xml:space="preserve"> </w:t>
      </w:r>
    </w:p>
    <w:p>
      <w:pPr>
        <w:numPr>
          <w:ilvl w:val="0"/>
          <w:numId w:val="8"/>
        </w:numPr>
        <w:spacing w:before="120" w:beforeLines="50" w:after="120" w:line="260" w:lineRule="exact"/>
        <w:rPr>
          <w:rFonts w:hint="eastAsia"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For beam management with gNB-sided model: L1-RSRPs and/or beam IDs are needed.</w:t>
      </w:r>
    </w:p>
    <w:p>
      <w:pPr>
        <w:numPr>
          <w:ilvl w:val="0"/>
          <w:numId w:val="8"/>
        </w:numPr>
        <w:spacing w:before="120" w:beforeLines="50" w:after="120" w:line="260" w:lineRule="exact"/>
        <w:rPr>
          <w:rFonts w:hint="eastAsia"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For positioning with gNB-sided model: measurements (corresponding to model input, e.g. timing, power, and/or phase info) and intermediate positioning measurement (corresponding to model output, e.g. timing info, LOS/NLOS indicator) are needed.</w:t>
      </w:r>
    </w:p>
    <w:p>
      <w:pPr>
        <w:numPr>
          <w:ilvl w:val="0"/>
          <w:numId w:val="8"/>
        </w:numPr>
        <w:spacing w:before="120" w:beforeLines="50" w:after="120" w:line="260" w:lineRule="exact"/>
        <w:rPr>
          <w:rFonts w:hint="eastAsia"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For positioning with LMF-sided model: measurements (corresponding to model input, e.g. timing, power, and/or phase info) and location coordinates as model output are needed.</w:t>
      </w:r>
    </w:p>
    <w:p>
      <w:pPr>
        <w:spacing w:before="120" w:beforeLines="50" w:after="120" w:line="260" w:lineRule="exact"/>
        <w:rPr>
          <w:rFonts w:hint="default" w:ascii="Arial" w:hAnsi="Arial" w:cs="Arial"/>
          <w:bCs/>
          <w:sz w:val="20"/>
          <w:szCs w:val="20"/>
          <w:lang w:val="en-US" w:eastAsia="zh-CN"/>
        </w:rPr>
      </w:pPr>
      <w:r>
        <w:rPr>
          <w:rFonts w:hint="eastAsia" w:ascii="Arial" w:hAnsi="Arial" w:cs="Arial"/>
          <w:bCs/>
          <w:sz w:val="20"/>
          <w:szCs w:val="20"/>
          <w:lang w:val="en-US" w:eastAsia="zh-CN"/>
        </w:rPr>
        <w:t>For other information needed for model training, RAN2 can wait for RAN1</w:t>
      </w:r>
      <w:r>
        <w:rPr>
          <w:rFonts w:hint="default" w:ascii="Arial" w:hAnsi="Arial" w:cs="Arial"/>
          <w:bCs/>
          <w:sz w:val="20"/>
          <w:szCs w:val="20"/>
          <w:lang w:val="en-US" w:eastAsia="zh-CN"/>
        </w:rPr>
        <w:t>’</w:t>
      </w:r>
      <w:r>
        <w:rPr>
          <w:rFonts w:hint="eastAsia" w:ascii="Arial" w:hAnsi="Arial" w:cs="Arial"/>
          <w:bCs/>
          <w:sz w:val="20"/>
          <w:szCs w:val="20"/>
          <w:lang w:val="en-US" w:eastAsia="zh-CN"/>
        </w:rPr>
        <w:t>s further progress.</w:t>
      </w:r>
    </w:p>
    <w:p>
      <w:pPr>
        <w:spacing w:before="120" w:beforeLines="50" w:after="120" w:line="260" w:lineRule="exact"/>
        <w:rPr>
          <w:rFonts w:hint="default" w:ascii="Arial" w:hAnsi="Arial" w:cs="Arial" w:eastAsiaTheme="minorEastAsia"/>
          <w:b/>
          <w:sz w:val="20"/>
          <w:szCs w:val="20"/>
          <w:lang w:val="en-US" w:eastAsia="zh-CN"/>
        </w:rPr>
      </w:pPr>
      <w:r>
        <w:rPr>
          <w:rFonts w:hint="eastAsia" w:ascii="Arial" w:hAnsi="Arial" w:cs="Arial"/>
          <w:b/>
          <w:sz w:val="20"/>
          <w:szCs w:val="20"/>
        </w:rPr>
        <w:t xml:space="preserve">Proposal </w:t>
      </w:r>
      <w:r>
        <w:rPr>
          <w:rFonts w:hint="eastAsia" w:ascii="Arial" w:hAnsi="Arial" w:cs="Arial"/>
          <w:b/>
          <w:sz w:val="20"/>
          <w:szCs w:val="20"/>
          <w:lang w:val="en-US" w:eastAsia="zh-CN"/>
        </w:rPr>
        <w:t>3</w:t>
      </w:r>
      <w:r>
        <w:rPr>
          <w:rFonts w:hint="eastAsia" w:ascii="Arial" w:hAnsi="Arial" w:cs="Arial"/>
          <w:b/>
          <w:sz w:val="20"/>
          <w:szCs w:val="20"/>
        </w:rPr>
        <w:t>: For the content of data collection</w:t>
      </w:r>
      <w:r>
        <w:rPr>
          <w:rFonts w:hint="eastAsia" w:ascii="Arial" w:hAnsi="Arial" w:cs="Arial"/>
          <w:b/>
          <w:sz w:val="20"/>
          <w:szCs w:val="20"/>
          <w:lang w:val="en-US" w:eastAsia="zh-CN"/>
        </w:rPr>
        <w:t xml:space="preserve"> for NW-sided model training per use case</w:t>
      </w:r>
      <w:r>
        <w:rPr>
          <w:rFonts w:hint="eastAsia" w:ascii="Arial" w:hAnsi="Arial" w:cs="Arial"/>
          <w:b/>
          <w:sz w:val="20"/>
          <w:szCs w:val="20"/>
        </w:rPr>
        <w:t xml:space="preserve">, RAN2 could take the </w:t>
      </w:r>
      <w:r>
        <w:rPr>
          <w:rFonts w:hint="eastAsia" w:ascii="Arial" w:hAnsi="Arial" w:cs="Arial"/>
          <w:b/>
          <w:sz w:val="20"/>
          <w:szCs w:val="20"/>
          <w:lang w:val="en-US" w:eastAsia="zh-CN"/>
        </w:rPr>
        <w:t xml:space="preserve">RAN1 </w:t>
      </w:r>
      <w:r>
        <w:rPr>
          <w:rFonts w:hint="eastAsia" w:ascii="Arial" w:hAnsi="Arial" w:cs="Arial"/>
          <w:b/>
          <w:sz w:val="20"/>
          <w:szCs w:val="20"/>
        </w:rPr>
        <w:t>Reply LS on Data Collection Requirements and Assumptions (R2-2311720) as the baseline</w:t>
      </w:r>
      <w:r>
        <w:rPr>
          <w:rFonts w:hint="eastAsia" w:ascii="Arial" w:hAnsi="Arial" w:cs="Arial"/>
          <w:b/>
          <w:sz w:val="20"/>
          <w:szCs w:val="20"/>
          <w:lang w:val="en-US" w:eastAsia="zh-CN"/>
        </w:rPr>
        <w:t>, other information is up to RAN1 discussion</w:t>
      </w:r>
      <w:r>
        <w:rPr>
          <w:rFonts w:hint="eastAsia" w:ascii="Arial" w:hAnsi="Arial" w:cs="Arial"/>
          <w:b/>
          <w:sz w:val="20"/>
          <w:szCs w:val="20"/>
        </w:rPr>
        <w:t>.</w:t>
      </w:r>
    </w:p>
    <w:p>
      <w:pPr>
        <w:numPr>
          <w:ilvl w:val="0"/>
          <w:numId w:val="0"/>
        </w:numPr>
        <w:spacing w:before="120" w:beforeLines="50" w:after="120" w:line="260" w:lineRule="exact"/>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For positioning with LMF-sided model, the training data can also be generated by the gNB or UE and terminated at LMF. Hence, the NRPPa or LPP protocol can be used to collect data for LMF-sided model training. However, the details of training data are still under RAN1 discussion. Thus, RAN2 can revisit whether LPP or NRPPa should be enhanced based on RAN1 progress, and RAN3 work may be triggered by LS if the enhancement on NRPPa is identified.</w:t>
      </w:r>
    </w:p>
    <w:p>
      <w:pPr>
        <w:numPr>
          <w:ilvl w:val="0"/>
          <w:numId w:val="0"/>
        </w:numPr>
        <w:spacing w:before="120" w:beforeLines="50" w:after="120" w:line="260" w:lineRule="exact"/>
        <w:rPr>
          <w:rFonts w:hint="default" w:ascii="Arial" w:hAnsi="Arial" w:eastAsia="宋体" w:cs="Arial"/>
          <w:b/>
          <w:bCs/>
          <w:sz w:val="20"/>
          <w:szCs w:val="20"/>
          <w:lang w:val="en-US" w:eastAsia="zh-CN"/>
        </w:rPr>
      </w:pPr>
      <w:r>
        <w:rPr>
          <w:rFonts w:hint="eastAsia" w:ascii="Arial" w:hAnsi="Arial" w:eastAsia="宋体" w:cs="Arial"/>
          <w:b/>
          <w:bCs/>
          <w:sz w:val="20"/>
          <w:szCs w:val="20"/>
          <w:lang w:val="en-US" w:eastAsia="zh-CN"/>
        </w:rPr>
        <w:t>Proposal 4: For positioning with LMF-side model, the LPP and NRPPa protocol can be used to collect data for LMF-sided model training, which are based on RAN1</w:t>
      </w:r>
      <w:r>
        <w:rPr>
          <w:rFonts w:hint="default" w:ascii="Arial" w:hAnsi="Arial" w:eastAsia="宋体" w:cs="Arial"/>
          <w:b/>
          <w:bCs/>
          <w:sz w:val="20"/>
          <w:szCs w:val="20"/>
          <w:lang w:val="en-US" w:eastAsia="zh-CN"/>
        </w:rPr>
        <w:t>’</w:t>
      </w:r>
      <w:r>
        <w:rPr>
          <w:rFonts w:hint="eastAsia" w:ascii="Arial" w:hAnsi="Arial" w:eastAsia="宋体" w:cs="Arial"/>
          <w:b/>
          <w:bCs/>
          <w:sz w:val="20"/>
          <w:szCs w:val="20"/>
          <w:lang w:val="en-US" w:eastAsia="zh-CN"/>
        </w:rPr>
        <w:t>s progress and may have impacts on RAN3.</w:t>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9"/>
        <w:rPr>
          <w:rFonts w:hint="eastAsia" w:ascii="Arial" w:hAnsi="Arial" w:cs="Arial"/>
          <w:b/>
          <w:bCs w:val="0"/>
          <w:sz w:val="28"/>
          <w:szCs w:val="28"/>
          <w:lang w:val="en-US" w:eastAsia="zh-CN"/>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Here are the</w:t>
      </w:r>
      <w:r>
        <w:rPr>
          <w:rFonts w:hint="eastAsia" w:ascii="Arial" w:hAnsi="Arial" w:eastAsia="宋体" w:cs="Arial"/>
          <w:kern w:val="0"/>
          <w:sz w:val="20"/>
          <w:szCs w:val="20"/>
        </w:rPr>
        <w:t xml:space="preserve"> </w:t>
      </w:r>
      <w:r>
        <w:rPr>
          <w:rFonts w:ascii="Arial" w:hAnsi="Arial" w:eastAsia="宋体" w:cs="Arial"/>
          <w:kern w:val="0"/>
          <w:sz w:val="20"/>
          <w:szCs w:val="20"/>
          <w:lang w:val="en-GB" w:eastAsia="en-US"/>
        </w:rPr>
        <w:t xml:space="preserve">proposals for </w:t>
      </w:r>
      <w:r>
        <w:rPr>
          <w:rFonts w:hint="eastAsia" w:ascii="Arial" w:hAnsi="Arial" w:eastAsia="宋体" w:cs="Arial"/>
          <w:kern w:val="0"/>
          <w:sz w:val="20"/>
          <w:szCs w:val="20"/>
          <w:lang w:val="en-US" w:eastAsia="zh-CN"/>
        </w:rPr>
        <w:t>NW side data collection</w:t>
      </w:r>
      <w:r>
        <w:rPr>
          <w:rFonts w:ascii="Arial" w:hAnsi="Arial" w:eastAsia="宋体" w:cs="Arial"/>
          <w:kern w:val="0"/>
          <w:sz w:val="20"/>
          <w:szCs w:val="20"/>
          <w:lang w:val="en-GB" w:eastAsia="en-US"/>
        </w:rPr>
        <w:t>.</w:t>
      </w:r>
    </w:p>
    <w:p>
      <w:pPr>
        <w:numPr>
          <w:ilvl w:val="0"/>
          <w:numId w:val="0"/>
        </w:numPr>
        <w:spacing w:before="120" w:beforeLines="50" w:after="120" w:line="260" w:lineRule="exact"/>
        <w:rPr>
          <w:rFonts w:hint="default" w:ascii="Arial" w:hAnsi="Arial" w:eastAsia="宋体" w:cs="Arial"/>
          <w:b/>
          <w:bCs/>
          <w:sz w:val="20"/>
          <w:szCs w:val="20"/>
          <w:lang w:val="en-US" w:eastAsia="zh-CN"/>
        </w:rPr>
      </w:pPr>
      <w:r>
        <w:rPr>
          <w:rFonts w:hint="eastAsia" w:ascii="Arial" w:hAnsi="Arial" w:eastAsia="宋体" w:cs="Arial"/>
          <w:b/>
          <w:bCs/>
          <w:sz w:val="20"/>
          <w:szCs w:val="20"/>
          <w:lang w:val="en-US" w:eastAsia="zh-CN"/>
        </w:rPr>
        <w:t>Proposal 1: The data collection framework for network-sided model training should support the data logging for RRC_CONNECTED UE.</w:t>
      </w:r>
    </w:p>
    <w:p>
      <w:pPr>
        <w:spacing w:before="120" w:beforeLines="50" w:after="120" w:line="260" w:lineRule="exact"/>
        <w:rPr>
          <w:rFonts w:hint="eastAsia" w:ascii="Arial" w:hAnsi="Arial" w:eastAsia="宋体" w:cs="Arial"/>
          <w:b/>
          <w:bCs/>
          <w:sz w:val="20"/>
          <w:szCs w:val="20"/>
          <w:lang w:val="en-US" w:eastAsia="zh-CN"/>
        </w:rPr>
      </w:pPr>
      <w:r>
        <w:rPr>
          <w:rFonts w:hint="eastAsia" w:ascii="Arial" w:hAnsi="Arial" w:eastAsia="宋体" w:cs="Arial"/>
          <w:b/>
          <w:bCs/>
          <w:sz w:val="20"/>
          <w:szCs w:val="20"/>
          <w:lang w:val="en-US" w:eastAsia="zh-CN"/>
        </w:rPr>
        <w:t>Proposal 2: For data collection for network-sided model training, RAN2 consider to introduce a new data collection framework taken the legacy MDT as baseline, which includes gNB-centric, OAM-centric and LMF-centric data collection.</w:t>
      </w:r>
    </w:p>
    <w:p>
      <w:pPr>
        <w:spacing w:before="120" w:beforeLines="50" w:after="120" w:line="260" w:lineRule="exact"/>
        <w:rPr>
          <w:rFonts w:hint="default" w:ascii="Arial" w:hAnsi="Arial" w:cs="Arial" w:eastAsiaTheme="minorEastAsia"/>
          <w:b/>
          <w:sz w:val="20"/>
          <w:szCs w:val="20"/>
          <w:lang w:val="en-US" w:eastAsia="zh-CN"/>
        </w:rPr>
      </w:pPr>
      <w:r>
        <w:rPr>
          <w:rFonts w:hint="eastAsia" w:ascii="Arial" w:hAnsi="Arial" w:cs="Arial"/>
          <w:b/>
          <w:sz w:val="20"/>
          <w:szCs w:val="20"/>
        </w:rPr>
        <w:t xml:space="preserve">Proposal </w:t>
      </w:r>
      <w:r>
        <w:rPr>
          <w:rFonts w:hint="eastAsia" w:ascii="Arial" w:hAnsi="Arial" w:cs="Arial"/>
          <w:b/>
          <w:sz w:val="20"/>
          <w:szCs w:val="20"/>
          <w:lang w:val="en-US" w:eastAsia="zh-CN"/>
        </w:rPr>
        <w:t>3</w:t>
      </w:r>
      <w:r>
        <w:rPr>
          <w:rFonts w:hint="eastAsia" w:ascii="Arial" w:hAnsi="Arial" w:cs="Arial"/>
          <w:b/>
          <w:sz w:val="20"/>
          <w:szCs w:val="20"/>
        </w:rPr>
        <w:t>: For the content of data collection</w:t>
      </w:r>
      <w:r>
        <w:rPr>
          <w:rFonts w:hint="eastAsia" w:ascii="Arial" w:hAnsi="Arial" w:cs="Arial"/>
          <w:b/>
          <w:sz w:val="20"/>
          <w:szCs w:val="20"/>
          <w:lang w:val="en-US" w:eastAsia="zh-CN"/>
        </w:rPr>
        <w:t xml:space="preserve"> for NW-sided model training per use case</w:t>
      </w:r>
      <w:r>
        <w:rPr>
          <w:rFonts w:hint="eastAsia" w:ascii="Arial" w:hAnsi="Arial" w:cs="Arial"/>
          <w:b/>
          <w:sz w:val="20"/>
          <w:szCs w:val="20"/>
        </w:rPr>
        <w:t xml:space="preserve">, RAN2 could take the </w:t>
      </w:r>
      <w:r>
        <w:rPr>
          <w:rFonts w:hint="eastAsia" w:ascii="Arial" w:hAnsi="Arial" w:cs="Arial"/>
          <w:b/>
          <w:sz w:val="20"/>
          <w:szCs w:val="20"/>
          <w:lang w:val="en-US" w:eastAsia="zh-CN"/>
        </w:rPr>
        <w:t xml:space="preserve">RAN1 </w:t>
      </w:r>
      <w:r>
        <w:rPr>
          <w:rFonts w:hint="eastAsia" w:ascii="Arial" w:hAnsi="Arial" w:cs="Arial"/>
          <w:b/>
          <w:sz w:val="20"/>
          <w:szCs w:val="20"/>
        </w:rPr>
        <w:t>Reply LS on Data Collection Requirements and Assumptions (R2-2311720) as the baseline</w:t>
      </w:r>
      <w:r>
        <w:rPr>
          <w:rFonts w:hint="eastAsia" w:ascii="Arial" w:hAnsi="Arial" w:cs="Arial"/>
          <w:b/>
          <w:sz w:val="20"/>
          <w:szCs w:val="20"/>
          <w:lang w:val="en-US" w:eastAsia="zh-CN"/>
        </w:rPr>
        <w:t>, other information is up to RAN1 discussion</w:t>
      </w:r>
      <w:r>
        <w:rPr>
          <w:rFonts w:hint="eastAsia" w:ascii="Arial" w:hAnsi="Arial" w:cs="Arial"/>
          <w:b/>
          <w:sz w:val="20"/>
          <w:szCs w:val="20"/>
        </w:rPr>
        <w:t>.</w:t>
      </w:r>
    </w:p>
    <w:p>
      <w:pPr>
        <w:numPr>
          <w:ilvl w:val="0"/>
          <w:numId w:val="0"/>
        </w:numPr>
        <w:spacing w:before="120" w:beforeLines="50" w:after="120" w:line="260" w:lineRule="exact"/>
        <w:rPr>
          <w:rFonts w:hint="default" w:ascii="Arial" w:hAnsi="Arial" w:eastAsia="宋体" w:cs="Arial"/>
          <w:b/>
          <w:bCs/>
          <w:sz w:val="20"/>
          <w:szCs w:val="20"/>
          <w:lang w:val="en-US" w:eastAsia="zh-CN"/>
        </w:rPr>
      </w:pPr>
      <w:r>
        <w:rPr>
          <w:rFonts w:hint="eastAsia" w:ascii="Arial" w:hAnsi="Arial" w:eastAsia="宋体" w:cs="Arial"/>
          <w:b/>
          <w:bCs/>
          <w:sz w:val="20"/>
          <w:szCs w:val="20"/>
          <w:lang w:val="en-US" w:eastAsia="zh-CN"/>
        </w:rPr>
        <w:t>Proposal 4: For positioning with LMF-side model, the LPP and NRPPa protocol can be used to collect data for LMF-sided model training, which are based on RAN1</w:t>
      </w:r>
      <w:r>
        <w:rPr>
          <w:rFonts w:hint="default" w:ascii="Arial" w:hAnsi="Arial" w:eastAsia="宋体" w:cs="Arial"/>
          <w:b/>
          <w:bCs/>
          <w:sz w:val="20"/>
          <w:szCs w:val="20"/>
          <w:lang w:val="en-US" w:eastAsia="zh-CN"/>
        </w:rPr>
        <w:t>’</w:t>
      </w:r>
      <w:r>
        <w:rPr>
          <w:rFonts w:hint="eastAsia" w:ascii="Arial" w:hAnsi="Arial" w:eastAsia="宋体" w:cs="Arial"/>
          <w:b/>
          <w:bCs/>
          <w:sz w:val="20"/>
          <w:szCs w:val="20"/>
          <w:lang w:val="en-US" w:eastAsia="zh-CN"/>
        </w:rPr>
        <w:t>s progress and may have impacts on RAN3.</w:t>
      </w:r>
    </w:p>
    <w:p>
      <w:pPr>
        <w:spacing w:before="120" w:beforeLines="50" w:after="120" w:line="260" w:lineRule="exact"/>
        <w:rPr>
          <w:rFonts w:hint="eastAsia" w:ascii="Arial" w:hAnsi="Arial" w:eastAsia="宋体" w:cs="Arial"/>
          <w:b/>
          <w:bCs/>
          <w:sz w:val="20"/>
          <w:szCs w:val="20"/>
          <w:lang w:val="en-US" w:eastAsia="zh-CN"/>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10"/>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rPr>
        <w:t>RP-234039 New WID on Artificial Intelligence (AI)/Machine Learning (ML) for NR Air Interface</w:t>
      </w:r>
    </w:p>
    <w:p>
      <w:pPr>
        <w:widowControl/>
        <w:numPr>
          <w:ilvl w:val="0"/>
          <w:numId w:val="10"/>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rPr>
        <w:t>TR 38.843 Study on Artificial Intelligence (AI)/Machine Learning (ML) for NR air interface</w:t>
      </w:r>
    </w:p>
    <w:p>
      <w:pPr>
        <w:widowControl/>
        <w:numPr>
          <w:ilvl w:val="0"/>
          <w:numId w:val="10"/>
        </w:numPr>
        <w:overflowPunct w:val="0"/>
        <w:autoSpaceDE w:val="0"/>
        <w:autoSpaceDN w:val="0"/>
        <w:adjustRightInd w:val="0"/>
        <w:spacing w:after="180"/>
        <w:jc w:val="left"/>
        <w:textAlignment w:val="baseline"/>
        <w:rPr>
          <w:rFonts w:hint="eastAsia" w:ascii="Arial" w:hAnsi="Arial" w:eastAsia="宋体" w:cs="Arial"/>
          <w:kern w:val="0"/>
          <w:sz w:val="20"/>
          <w:szCs w:val="20"/>
          <w:lang w:val="en-GB" w:eastAsia="en-US"/>
        </w:rPr>
      </w:pPr>
      <w:r>
        <w:rPr>
          <w:rFonts w:hint="eastAsia" w:ascii="Arial" w:hAnsi="Arial" w:eastAsia="宋体" w:cs="Arial"/>
          <w:kern w:val="0"/>
          <w:sz w:val="20"/>
          <w:szCs w:val="20"/>
          <w:lang w:val="en-GB" w:eastAsia="en-US"/>
        </w:rPr>
        <w:t>R2-2311720</w:t>
      </w:r>
      <w:r>
        <w:rPr>
          <w:rFonts w:hint="eastAsia" w:ascii="Arial" w:hAnsi="Arial" w:eastAsia="宋体" w:cs="Arial"/>
          <w:kern w:val="0"/>
          <w:sz w:val="20"/>
          <w:szCs w:val="20"/>
        </w:rPr>
        <w:t xml:space="preserve"> </w:t>
      </w:r>
      <w:r>
        <w:rPr>
          <w:rFonts w:hint="eastAsia" w:ascii="Arial" w:hAnsi="Arial" w:eastAsia="宋体" w:cs="Arial"/>
          <w:kern w:val="0"/>
          <w:sz w:val="20"/>
          <w:szCs w:val="20"/>
          <w:lang w:val="en-US" w:eastAsia="zh-CN"/>
        </w:rPr>
        <w:t xml:space="preserve">Reply LS on Data Collection Requirements and Assumptions </w:t>
      </w:r>
      <w:r>
        <w:rPr>
          <w:rFonts w:hint="eastAsia" w:ascii="Arial" w:hAnsi="Arial" w:eastAsia="宋体" w:cs="Arial"/>
          <w:kern w:val="0"/>
          <w:sz w:val="20"/>
          <w:szCs w:val="20"/>
        </w:rPr>
        <w:t>(R1-2310681)</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30CDC6"/>
    <w:multiLevelType w:val="singleLevel"/>
    <w:tmpl w:val="8B30CDC6"/>
    <w:lvl w:ilvl="0" w:tentative="0">
      <w:start w:val="1"/>
      <w:numFmt w:val="lowerLetter"/>
      <w:suff w:val="space"/>
      <w:lvlText w:val="%1)"/>
      <w:lvlJc w:val="left"/>
    </w:lvl>
  </w:abstractNum>
  <w:abstractNum w:abstractNumId="1">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3">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5">
    <w:nsid w:val="4D66ADD5"/>
    <w:multiLevelType w:val="multilevel"/>
    <w:tmpl w:val="4D66ADD5"/>
    <w:lvl w:ilvl="0" w:tentative="0">
      <w:start w:val="1"/>
      <w:numFmt w:val="bullet"/>
      <w:lvlText w:val=""/>
      <w:lvlJc w:val="left"/>
      <w:pPr>
        <w:tabs>
          <w:tab w:val="left" w:pos="420"/>
        </w:tabs>
        <w:ind w:left="840" w:hanging="420"/>
      </w:pPr>
      <w:rPr>
        <w:rFonts w:hint="default" w:ascii="Wingdings" w:hAnsi="Wingdings"/>
        <w:sz w:val="16"/>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6">
    <w:nsid w:val="50BED944"/>
    <w:multiLevelType w:val="singleLevel"/>
    <w:tmpl w:val="50BED944"/>
    <w:lvl w:ilvl="0" w:tentative="0">
      <w:start w:val="1"/>
      <w:numFmt w:val="decimal"/>
      <w:lvlText w:val="%1"/>
      <w:lvlJc w:val="left"/>
    </w:lvl>
  </w:abstractNum>
  <w:abstractNum w:abstractNumId="7">
    <w:nsid w:val="5A40026E"/>
    <w:multiLevelType w:val="multilevel"/>
    <w:tmpl w:val="5A40026E"/>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0146DC0"/>
    <w:multiLevelType w:val="multilevel"/>
    <w:tmpl w:val="70146DC0"/>
    <w:lvl w:ilvl="0" w:tentative="0">
      <w:start w:val="1"/>
      <w:numFmt w:val="bullet"/>
      <w:pStyle w:val="33"/>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18D7D2E"/>
    <w:multiLevelType w:val="multilevel"/>
    <w:tmpl w:val="718D7D2E"/>
    <w:lvl w:ilvl="0" w:tentative="0">
      <w:start w:val="1"/>
      <w:numFmt w:val="decimal"/>
      <w:pStyle w:val="31"/>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4"/>
  </w:num>
  <w:num w:numId="2">
    <w:abstractNumId w:val="1"/>
  </w:num>
  <w:num w:numId="3">
    <w:abstractNumId w:val="9"/>
  </w:num>
  <w:num w:numId="4">
    <w:abstractNumId w:val="8"/>
  </w:num>
  <w:num w:numId="5">
    <w:abstractNumId w:val="6"/>
  </w:num>
  <w:num w:numId="6">
    <w:abstractNumId w:val="7"/>
  </w:num>
  <w:num w:numId="7">
    <w:abstractNumId w:val="2"/>
  </w:num>
  <w:num w:numId="8">
    <w:abstractNumId w:val="5"/>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96A53"/>
    <w:rsid w:val="001E2496"/>
    <w:rsid w:val="001F7978"/>
    <w:rsid w:val="002215C2"/>
    <w:rsid w:val="00225D63"/>
    <w:rsid w:val="00234354"/>
    <w:rsid w:val="002650A3"/>
    <w:rsid w:val="002713AD"/>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A2645"/>
    <w:rsid w:val="004B509A"/>
    <w:rsid w:val="004D437A"/>
    <w:rsid w:val="004E4DAD"/>
    <w:rsid w:val="005075A3"/>
    <w:rsid w:val="00523942"/>
    <w:rsid w:val="00525BBB"/>
    <w:rsid w:val="005C3989"/>
    <w:rsid w:val="005E7E07"/>
    <w:rsid w:val="006100C7"/>
    <w:rsid w:val="00610B28"/>
    <w:rsid w:val="006743B8"/>
    <w:rsid w:val="00680623"/>
    <w:rsid w:val="006A4FB5"/>
    <w:rsid w:val="006B0BFB"/>
    <w:rsid w:val="006D1DA8"/>
    <w:rsid w:val="006F2C45"/>
    <w:rsid w:val="006F304E"/>
    <w:rsid w:val="0074611C"/>
    <w:rsid w:val="007750BC"/>
    <w:rsid w:val="007A2ADF"/>
    <w:rsid w:val="007B28E6"/>
    <w:rsid w:val="007E3904"/>
    <w:rsid w:val="00843904"/>
    <w:rsid w:val="0088799E"/>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73C33"/>
    <w:rsid w:val="00B846FB"/>
    <w:rsid w:val="00B84BEF"/>
    <w:rsid w:val="00BB6E56"/>
    <w:rsid w:val="00C03FFA"/>
    <w:rsid w:val="00C12245"/>
    <w:rsid w:val="00C21C29"/>
    <w:rsid w:val="00C53226"/>
    <w:rsid w:val="00C95F8C"/>
    <w:rsid w:val="00CD18ED"/>
    <w:rsid w:val="00CF2DAA"/>
    <w:rsid w:val="00D66BFB"/>
    <w:rsid w:val="00D9059D"/>
    <w:rsid w:val="00D95195"/>
    <w:rsid w:val="00DA12B1"/>
    <w:rsid w:val="00DA6656"/>
    <w:rsid w:val="00DE5620"/>
    <w:rsid w:val="00E00C78"/>
    <w:rsid w:val="00E513DD"/>
    <w:rsid w:val="00E82408"/>
    <w:rsid w:val="00ED765C"/>
    <w:rsid w:val="00EF5EE1"/>
    <w:rsid w:val="00F02DFE"/>
    <w:rsid w:val="00F05AB0"/>
    <w:rsid w:val="00F0760F"/>
    <w:rsid w:val="00F33D13"/>
    <w:rsid w:val="00F47D8B"/>
    <w:rsid w:val="00F50B60"/>
    <w:rsid w:val="00F627D0"/>
    <w:rsid w:val="00F841B6"/>
    <w:rsid w:val="00F92EA1"/>
    <w:rsid w:val="00FE674B"/>
    <w:rsid w:val="01041DE1"/>
    <w:rsid w:val="01474FCB"/>
    <w:rsid w:val="016C5974"/>
    <w:rsid w:val="016E658B"/>
    <w:rsid w:val="01840FB9"/>
    <w:rsid w:val="019A524E"/>
    <w:rsid w:val="01A0498E"/>
    <w:rsid w:val="01A574CF"/>
    <w:rsid w:val="01A60C1B"/>
    <w:rsid w:val="01E966BF"/>
    <w:rsid w:val="02395107"/>
    <w:rsid w:val="029B08C6"/>
    <w:rsid w:val="02A424C3"/>
    <w:rsid w:val="02B71025"/>
    <w:rsid w:val="02FA6D08"/>
    <w:rsid w:val="0300491B"/>
    <w:rsid w:val="030E32B0"/>
    <w:rsid w:val="03190295"/>
    <w:rsid w:val="034F533A"/>
    <w:rsid w:val="03877AE8"/>
    <w:rsid w:val="038A1F16"/>
    <w:rsid w:val="041A101A"/>
    <w:rsid w:val="041D6583"/>
    <w:rsid w:val="04861CA0"/>
    <w:rsid w:val="04A12BB9"/>
    <w:rsid w:val="04A37BF0"/>
    <w:rsid w:val="04F25DBA"/>
    <w:rsid w:val="04F46CEE"/>
    <w:rsid w:val="04FD5053"/>
    <w:rsid w:val="054134AD"/>
    <w:rsid w:val="056C27CB"/>
    <w:rsid w:val="0571089C"/>
    <w:rsid w:val="058844D8"/>
    <w:rsid w:val="059A3C03"/>
    <w:rsid w:val="05AD7C3D"/>
    <w:rsid w:val="05B81468"/>
    <w:rsid w:val="05B92B80"/>
    <w:rsid w:val="05CC288F"/>
    <w:rsid w:val="05FB3716"/>
    <w:rsid w:val="061355E6"/>
    <w:rsid w:val="063A49AE"/>
    <w:rsid w:val="064F5C41"/>
    <w:rsid w:val="069766D8"/>
    <w:rsid w:val="06EA3869"/>
    <w:rsid w:val="06EB297F"/>
    <w:rsid w:val="06F44776"/>
    <w:rsid w:val="071830B3"/>
    <w:rsid w:val="07232B13"/>
    <w:rsid w:val="072E12A5"/>
    <w:rsid w:val="072E4FA9"/>
    <w:rsid w:val="07554650"/>
    <w:rsid w:val="075F5104"/>
    <w:rsid w:val="079F7BD5"/>
    <w:rsid w:val="07CC0B7F"/>
    <w:rsid w:val="080B0E60"/>
    <w:rsid w:val="08241B14"/>
    <w:rsid w:val="08346E32"/>
    <w:rsid w:val="084F3982"/>
    <w:rsid w:val="0870581B"/>
    <w:rsid w:val="08BD2F14"/>
    <w:rsid w:val="08D80E0C"/>
    <w:rsid w:val="08FE04F3"/>
    <w:rsid w:val="09085B92"/>
    <w:rsid w:val="093223D0"/>
    <w:rsid w:val="09414F75"/>
    <w:rsid w:val="094470AB"/>
    <w:rsid w:val="095A6DFD"/>
    <w:rsid w:val="09926330"/>
    <w:rsid w:val="09A24612"/>
    <w:rsid w:val="09AD7F7C"/>
    <w:rsid w:val="09B92009"/>
    <w:rsid w:val="09C411E9"/>
    <w:rsid w:val="09D63199"/>
    <w:rsid w:val="09F124DC"/>
    <w:rsid w:val="09F8719E"/>
    <w:rsid w:val="0A0C359D"/>
    <w:rsid w:val="0A103B20"/>
    <w:rsid w:val="0A1469F1"/>
    <w:rsid w:val="0A173D8A"/>
    <w:rsid w:val="0A7B4003"/>
    <w:rsid w:val="0AA35EAE"/>
    <w:rsid w:val="0AAC7074"/>
    <w:rsid w:val="0AB622D1"/>
    <w:rsid w:val="0ADE2342"/>
    <w:rsid w:val="0AE21792"/>
    <w:rsid w:val="0AF33383"/>
    <w:rsid w:val="0AFD0EBC"/>
    <w:rsid w:val="0B054A96"/>
    <w:rsid w:val="0B11078A"/>
    <w:rsid w:val="0B7E67EB"/>
    <w:rsid w:val="0B944661"/>
    <w:rsid w:val="0B96175E"/>
    <w:rsid w:val="0BB81E48"/>
    <w:rsid w:val="0BBD7E79"/>
    <w:rsid w:val="0BE427FA"/>
    <w:rsid w:val="0BF550E1"/>
    <w:rsid w:val="0C202296"/>
    <w:rsid w:val="0C415301"/>
    <w:rsid w:val="0C4853AF"/>
    <w:rsid w:val="0C5466CF"/>
    <w:rsid w:val="0C6C1EE0"/>
    <w:rsid w:val="0C7F3E15"/>
    <w:rsid w:val="0CC05689"/>
    <w:rsid w:val="0CD5224C"/>
    <w:rsid w:val="0CE47224"/>
    <w:rsid w:val="0CED527E"/>
    <w:rsid w:val="0D362C45"/>
    <w:rsid w:val="0D711EBE"/>
    <w:rsid w:val="0D771EA7"/>
    <w:rsid w:val="0DA728AC"/>
    <w:rsid w:val="0DAD175B"/>
    <w:rsid w:val="0DB22432"/>
    <w:rsid w:val="0DE11C21"/>
    <w:rsid w:val="0DE14E46"/>
    <w:rsid w:val="0E3D4FDF"/>
    <w:rsid w:val="0E4A09D7"/>
    <w:rsid w:val="0E56201A"/>
    <w:rsid w:val="0E6E3C34"/>
    <w:rsid w:val="0EAF327B"/>
    <w:rsid w:val="0F1D748A"/>
    <w:rsid w:val="0F4E079B"/>
    <w:rsid w:val="0F732504"/>
    <w:rsid w:val="0F782620"/>
    <w:rsid w:val="0F8A7784"/>
    <w:rsid w:val="0F8C51E0"/>
    <w:rsid w:val="0FC803F4"/>
    <w:rsid w:val="10090A65"/>
    <w:rsid w:val="1081433D"/>
    <w:rsid w:val="108B22CD"/>
    <w:rsid w:val="10AC6F3F"/>
    <w:rsid w:val="10C31C47"/>
    <w:rsid w:val="10C64AE7"/>
    <w:rsid w:val="10F04644"/>
    <w:rsid w:val="110171B2"/>
    <w:rsid w:val="11171B9A"/>
    <w:rsid w:val="111F30A5"/>
    <w:rsid w:val="11900A86"/>
    <w:rsid w:val="119B1CE5"/>
    <w:rsid w:val="11D44799"/>
    <w:rsid w:val="11D65F4E"/>
    <w:rsid w:val="11E4251C"/>
    <w:rsid w:val="11E76EE9"/>
    <w:rsid w:val="11F2137A"/>
    <w:rsid w:val="1236016D"/>
    <w:rsid w:val="123900DB"/>
    <w:rsid w:val="123B6254"/>
    <w:rsid w:val="12527EEB"/>
    <w:rsid w:val="12934DEA"/>
    <w:rsid w:val="12A73823"/>
    <w:rsid w:val="12B04029"/>
    <w:rsid w:val="12BD5E5F"/>
    <w:rsid w:val="12DA4242"/>
    <w:rsid w:val="130A48C3"/>
    <w:rsid w:val="132303DD"/>
    <w:rsid w:val="1331496D"/>
    <w:rsid w:val="13392934"/>
    <w:rsid w:val="135167B1"/>
    <w:rsid w:val="13583AE1"/>
    <w:rsid w:val="1358580E"/>
    <w:rsid w:val="135A6265"/>
    <w:rsid w:val="136A73BB"/>
    <w:rsid w:val="139327D8"/>
    <w:rsid w:val="13A46671"/>
    <w:rsid w:val="13D36FA4"/>
    <w:rsid w:val="14256000"/>
    <w:rsid w:val="1466786F"/>
    <w:rsid w:val="147E654B"/>
    <w:rsid w:val="14A668A4"/>
    <w:rsid w:val="14A9029F"/>
    <w:rsid w:val="14B83431"/>
    <w:rsid w:val="14E836E8"/>
    <w:rsid w:val="14F142C3"/>
    <w:rsid w:val="150B6FBF"/>
    <w:rsid w:val="152B1104"/>
    <w:rsid w:val="154A66B0"/>
    <w:rsid w:val="159C7EDD"/>
    <w:rsid w:val="15BE553B"/>
    <w:rsid w:val="15E03E14"/>
    <w:rsid w:val="15E4550B"/>
    <w:rsid w:val="15E9482E"/>
    <w:rsid w:val="161147C5"/>
    <w:rsid w:val="16327956"/>
    <w:rsid w:val="16473F31"/>
    <w:rsid w:val="166A7A3B"/>
    <w:rsid w:val="16725680"/>
    <w:rsid w:val="168B0BBD"/>
    <w:rsid w:val="169C3C7F"/>
    <w:rsid w:val="16A3322F"/>
    <w:rsid w:val="16C120B7"/>
    <w:rsid w:val="16CD3708"/>
    <w:rsid w:val="16D51B5B"/>
    <w:rsid w:val="16D7712F"/>
    <w:rsid w:val="176078E0"/>
    <w:rsid w:val="17654071"/>
    <w:rsid w:val="17704CFB"/>
    <w:rsid w:val="17916AE6"/>
    <w:rsid w:val="179D12F3"/>
    <w:rsid w:val="17AE49E6"/>
    <w:rsid w:val="17CD5A7B"/>
    <w:rsid w:val="17FF4932"/>
    <w:rsid w:val="18035F6A"/>
    <w:rsid w:val="1830753E"/>
    <w:rsid w:val="18550589"/>
    <w:rsid w:val="185C58E1"/>
    <w:rsid w:val="186366A3"/>
    <w:rsid w:val="187A66B9"/>
    <w:rsid w:val="187F3411"/>
    <w:rsid w:val="1881324F"/>
    <w:rsid w:val="18A246AF"/>
    <w:rsid w:val="18F32680"/>
    <w:rsid w:val="18F80417"/>
    <w:rsid w:val="18FE1274"/>
    <w:rsid w:val="192F165F"/>
    <w:rsid w:val="195230E4"/>
    <w:rsid w:val="195E3B99"/>
    <w:rsid w:val="196E4FB3"/>
    <w:rsid w:val="19C51AEA"/>
    <w:rsid w:val="19CE1BFF"/>
    <w:rsid w:val="19E27BFB"/>
    <w:rsid w:val="19F1587E"/>
    <w:rsid w:val="1A1C0B7B"/>
    <w:rsid w:val="1A40430B"/>
    <w:rsid w:val="1A4C49E1"/>
    <w:rsid w:val="1A9A126F"/>
    <w:rsid w:val="1AA4601E"/>
    <w:rsid w:val="1ABB3621"/>
    <w:rsid w:val="1ABF7C53"/>
    <w:rsid w:val="1ADE6206"/>
    <w:rsid w:val="1AE7452F"/>
    <w:rsid w:val="1B073464"/>
    <w:rsid w:val="1B0B332F"/>
    <w:rsid w:val="1B5E2B2B"/>
    <w:rsid w:val="1BA06FEE"/>
    <w:rsid w:val="1BB22919"/>
    <w:rsid w:val="1BF91505"/>
    <w:rsid w:val="1C064DE2"/>
    <w:rsid w:val="1C263D41"/>
    <w:rsid w:val="1C4246FD"/>
    <w:rsid w:val="1C6673DB"/>
    <w:rsid w:val="1C6A1BB2"/>
    <w:rsid w:val="1C726F5B"/>
    <w:rsid w:val="1CC529AF"/>
    <w:rsid w:val="1CC914E2"/>
    <w:rsid w:val="1D031FA5"/>
    <w:rsid w:val="1D700D25"/>
    <w:rsid w:val="1DA1677A"/>
    <w:rsid w:val="1DA90A2F"/>
    <w:rsid w:val="1DD6639F"/>
    <w:rsid w:val="1DE55E1B"/>
    <w:rsid w:val="1DEA2636"/>
    <w:rsid w:val="1E015BFF"/>
    <w:rsid w:val="1E261FEC"/>
    <w:rsid w:val="1E4A5D6E"/>
    <w:rsid w:val="1E5D014C"/>
    <w:rsid w:val="1E625159"/>
    <w:rsid w:val="1E6C052F"/>
    <w:rsid w:val="1E8017FF"/>
    <w:rsid w:val="1E8A1312"/>
    <w:rsid w:val="1EB31B66"/>
    <w:rsid w:val="1EB529F8"/>
    <w:rsid w:val="1EC035D7"/>
    <w:rsid w:val="1EF17AB3"/>
    <w:rsid w:val="1F0A0750"/>
    <w:rsid w:val="1F1F4D17"/>
    <w:rsid w:val="1F630DDF"/>
    <w:rsid w:val="1F8A3BD5"/>
    <w:rsid w:val="1FE63CE8"/>
    <w:rsid w:val="20254C14"/>
    <w:rsid w:val="204C2272"/>
    <w:rsid w:val="205E7BE3"/>
    <w:rsid w:val="208A18F1"/>
    <w:rsid w:val="208D63E6"/>
    <w:rsid w:val="20943FF9"/>
    <w:rsid w:val="20A506BA"/>
    <w:rsid w:val="20F63843"/>
    <w:rsid w:val="20FE18B0"/>
    <w:rsid w:val="21376EA4"/>
    <w:rsid w:val="213E3F71"/>
    <w:rsid w:val="21513A3C"/>
    <w:rsid w:val="215A766D"/>
    <w:rsid w:val="21667FDB"/>
    <w:rsid w:val="218A4F7E"/>
    <w:rsid w:val="219C1508"/>
    <w:rsid w:val="21FA5606"/>
    <w:rsid w:val="22046DF1"/>
    <w:rsid w:val="220A4513"/>
    <w:rsid w:val="22121299"/>
    <w:rsid w:val="229575D0"/>
    <w:rsid w:val="22B32E1B"/>
    <w:rsid w:val="22CD6AE0"/>
    <w:rsid w:val="236906A5"/>
    <w:rsid w:val="2375481A"/>
    <w:rsid w:val="23765F46"/>
    <w:rsid w:val="23797368"/>
    <w:rsid w:val="23822B30"/>
    <w:rsid w:val="23B06B01"/>
    <w:rsid w:val="23B828A0"/>
    <w:rsid w:val="23EE120B"/>
    <w:rsid w:val="23F8406C"/>
    <w:rsid w:val="2403705B"/>
    <w:rsid w:val="24066BDB"/>
    <w:rsid w:val="24110B80"/>
    <w:rsid w:val="24572D18"/>
    <w:rsid w:val="249D5D77"/>
    <w:rsid w:val="24B445FB"/>
    <w:rsid w:val="24BD6504"/>
    <w:rsid w:val="24C74F14"/>
    <w:rsid w:val="24D708E2"/>
    <w:rsid w:val="24FB6730"/>
    <w:rsid w:val="251B6F7E"/>
    <w:rsid w:val="252515BC"/>
    <w:rsid w:val="252D2E7E"/>
    <w:rsid w:val="25787665"/>
    <w:rsid w:val="258969EA"/>
    <w:rsid w:val="25F5013E"/>
    <w:rsid w:val="262A1C6D"/>
    <w:rsid w:val="262F627F"/>
    <w:rsid w:val="26315BFD"/>
    <w:rsid w:val="264A4407"/>
    <w:rsid w:val="26537397"/>
    <w:rsid w:val="26590269"/>
    <w:rsid w:val="2660154C"/>
    <w:rsid w:val="26A276B5"/>
    <w:rsid w:val="26BA68C7"/>
    <w:rsid w:val="26BB1824"/>
    <w:rsid w:val="26BF5E40"/>
    <w:rsid w:val="26F237CD"/>
    <w:rsid w:val="2719754A"/>
    <w:rsid w:val="2725126B"/>
    <w:rsid w:val="274C2D2B"/>
    <w:rsid w:val="2796594E"/>
    <w:rsid w:val="27BC024E"/>
    <w:rsid w:val="27BE3E87"/>
    <w:rsid w:val="27C17045"/>
    <w:rsid w:val="27C35275"/>
    <w:rsid w:val="283167B4"/>
    <w:rsid w:val="28682A73"/>
    <w:rsid w:val="289D577F"/>
    <w:rsid w:val="28E404D9"/>
    <w:rsid w:val="28F4407D"/>
    <w:rsid w:val="291138C7"/>
    <w:rsid w:val="29120E51"/>
    <w:rsid w:val="29713020"/>
    <w:rsid w:val="29733D9F"/>
    <w:rsid w:val="29A61468"/>
    <w:rsid w:val="29BE37C1"/>
    <w:rsid w:val="29DD03DE"/>
    <w:rsid w:val="2A5039D7"/>
    <w:rsid w:val="2A665688"/>
    <w:rsid w:val="2A7D74CC"/>
    <w:rsid w:val="2A7F4563"/>
    <w:rsid w:val="2AB72260"/>
    <w:rsid w:val="2B3F4C1F"/>
    <w:rsid w:val="2B4D1216"/>
    <w:rsid w:val="2B58393A"/>
    <w:rsid w:val="2B8030A5"/>
    <w:rsid w:val="2BE06712"/>
    <w:rsid w:val="2C002162"/>
    <w:rsid w:val="2C095760"/>
    <w:rsid w:val="2C0D429C"/>
    <w:rsid w:val="2C4016E9"/>
    <w:rsid w:val="2C6E581C"/>
    <w:rsid w:val="2C717596"/>
    <w:rsid w:val="2C7A7AA0"/>
    <w:rsid w:val="2CA30589"/>
    <w:rsid w:val="2CC31B0E"/>
    <w:rsid w:val="2D146D2C"/>
    <w:rsid w:val="2D155FB3"/>
    <w:rsid w:val="2D3B7B03"/>
    <w:rsid w:val="2D440581"/>
    <w:rsid w:val="2D470656"/>
    <w:rsid w:val="2D493ADC"/>
    <w:rsid w:val="2D55451C"/>
    <w:rsid w:val="2D5B158F"/>
    <w:rsid w:val="2D865C52"/>
    <w:rsid w:val="2DD85F0E"/>
    <w:rsid w:val="2DF144D1"/>
    <w:rsid w:val="2DFB6036"/>
    <w:rsid w:val="2E037C91"/>
    <w:rsid w:val="2E3472AB"/>
    <w:rsid w:val="2E3D031C"/>
    <w:rsid w:val="2E916CDE"/>
    <w:rsid w:val="2EA86437"/>
    <w:rsid w:val="2EB103B1"/>
    <w:rsid w:val="2F0F71E6"/>
    <w:rsid w:val="2F125BF3"/>
    <w:rsid w:val="2F13163F"/>
    <w:rsid w:val="2F383A5C"/>
    <w:rsid w:val="2F4559EE"/>
    <w:rsid w:val="2F742945"/>
    <w:rsid w:val="2F9D4B14"/>
    <w:rsid w:val="2FBE43F5"/>
    <w:rsid w:val="2FC53C32"/>
    <w:rsid w:val="2FC55B9D"/>
    <w:rsid w:val="2FD157C7"/>
    <w:rsid w:val="300A115E"/>
    <w:rsid w:val="301241C3"/>
    <w:rsid w:val="30296BB8"/>
    <w:rsid w:val="30881C59"/>
    <w:rsid w:val="309D4655"/>
    <w:rsid w:val="30C026F3"/>
    <w:rsid w:val="30EA4040"/>
    <w:rsid w:val="315423FA"/>
    <w:rsid w:val="315B7AEC"/>
    <w:rsid w:val="31710789"/>
    <w:rsid w:val="317503B0"/>
    <w:rsid w:val="31D53C4D"/>
    <w:rsid w:val="31F2254D"/>
    <w:rsid w:val="31F71A11"/>
    <w:rsid w:val="31FE12AB"/>
    <w:rsid w:val="320E382B"/>
    <w:rsid w:val="321A185A"/>
    <w:rsid w:val="321B4537"/>
    <w:rsid w:val="32513A45"/>
    <w:rsid w:val="325B682D"/>
    <w:rsid w:val="32B50B2C"/>
    <w:rsid w:val="32C84DFE"/>
    <w:rsid w:val="32FA3DAF"/>
    <w:rsid w:val="332D5F33"/>
    <w:rsid w:val="3337740D"/>
    <w:rsid w:val="337F1035"/>
    <w:rsid w:val="33805DA1"/>
    <w:rsid w:val="338C56E4"/>
    <w:rsid w:val="33934B2E"/>
    <w:rsid w:val="339441CF"/>
    <w:rsid w:val="33B60D2B"/>
    <w:rsid w:val="33C37075"/>
    <w:rsid w:val="34062C68"/>
    <w:rsid w:val="341C738A"/>
    <w:rsid w:val="348F0A80"/>
    <w:rsid w:val="349158FD"/>
    <w:rsid w:val="34A131A3"/>
    <w:rsid w:val="34A26022"/>
    <w:rsid w:val="34B0567F"/>
    <w:rsid w:val="34B443F6"/>
    <w:rsid w:val="34E12F4E"/>
    <w:rsid w:val="34EB31AA"/>
    <w:rsid w:val="34EC41DF"/>
    <w:rsid w:val="35040A33"/>
    <w:rsid w:val="351A24AD"/>
    <w:rsid w:val="35273121"/>
    <w:rsid w:val="354E123E"/>
    <w:rsid w:val="354F2AD2"/>
    <w:rsid w:val="35C36B07"/>
    <w:rsid w:val="35C60438"/>
    <w:rsid w:val="360D6591"/>
    <w:rsid w:val="361F2C5E"/>
    <w:rsid w:val="363976F7"/>
    <w:rsid w:val="36681B72"/>
    <w:rsid w:val="366E68DA"/>
    <w:rsid w:val="36BD137C"/>
    <w:rsid w:val="36CB1803"/>
    <w:rsid w:val="36E02E58"/>
    <w:rsid w:val="36F84B57"/>
    <w:rsid w:val="3751494E"/>
    <w:rsid w:val="375A24EA"/>
    <w:rsid w:val="37757EA8"/>
    <w:rsid w:val="3784494C"/>
    <w:rsid w:val="37BC00E4"/>
    <w:rsid w:val="37C859C7"/>
    <w:rsid w:val="37D62F7A"/>
    <w:rsid w:val="37E40AE8"/>
    <w:rsid w:val="3801173C"/>
    <w:rsid w:val="38060F79"/>
    <w:rsid w:val="384E5649"/>
    <w:rsid w:val="38746ABC"/>
    <w:rsid w:val="38761BD7"/>
    <w:rsid w:val="38AE69D5"/>
    <w:rsid w:val="38CC58A6"/>
    <w:rsid w:val="38FC0060"/>
    <w:rsid w:val="38FC32F5"/>
    <w:rsid w:val="38FD17EE"/>
    <w:rsid w:val="39030A9D"/>
    <w:rsid w:val="39113643"/>
    <w:rsid w:val="393A37CB"/>
    <w:rsid w:val="396866FD"/>
    <w:rsid w:val="39741B90"/>
    <w:rsid w:val="397E03C2"/>
    <w:rsid w:val="39BB3AC3"/>
    <w:rsid w:val="39BC3B6C"/>
    <w:rsid w:val="39DF043A"/>
    <w:rsid w:val="39FE32B3"/>
    <w:rsid w:val="39FF59A7"/>
    <w:rsid w:val="3A06128C"/>
    <w:rsid w:val="3A070DC0"/>
    <w:rsid w:val="3A2065C7"/>
    <w:rsid w:val="3A213653"/>
    <w:rsid w:val="3A3315EB"/>
    <w:rsid w:val="3A34378D"/>
    <w:rsid w:val="3A36160B"/>
    <w:rsid w:val="3A6F51D2"/>
    <w:rsid w:val="3AA50AA5"/>
    <w:rsid w:val="3AEB3C21"/>
    <w:rsid w:val="3AFB6043"/>
    <w:rsid w:val="3B041E40"/>
    <w:rsid w:val="3B191C47"/>
    <w:rsid w:val="3B205806"/>
    <w:rsid w:val="3B295FAA"/>
    <w:rsid w:val="3B5C6A72"/>
    <w:rsid w:val="3B7F2CAA"/>
    <w:rsid w:val="3C1A13DF"/>
    <w:rsid w:val="3C3A4FEB"/>
    <w:rsid w:val="3C4F0EBB"/>
    <w:rsid w:val="3C635FA0"/>
    <w:rsid w:val="3C8659AE"/>
    <w:rsid w:val="3C942B7F"/>
    <w:rsid w:val="3CA66A58"/>
    <w:rsid w:val="3CBE3C7C"/>
    <w:rsid w:val="3CD165D4"/>
    <w:rsid w:val="3CE32014"/>
    <w:rsid w:val="3CE6704E"/>
    <w:rsid w:val="3CF316DB"/>
    <w:rsid w:val="3D39355A"/>
    <w:rsid w:val="3D3C44DD"/>
    <w:rsid w:val="3D5001A7"/>
    <w:rsid w:val="3D5B3EF0"/>
    <w:rsid w:val="3D5C58DF"/>
    <w:rsid w:val="3D9214B7"/>
    <w:rsid w:val="3DB23DD9"/>
    <w:rsid w:val="3DF57F08"/>
    <w:rsid w:val="3E143052"/>
    <w:rsid w:val="3E390C78"/>
    <w:rsid w:val="3E500D27"/>
    <w:rsid w:val="3E573ADE"/>
    <w:rsid w:val="3EA55E90"/>
    <w:rsid w:val="3ECD0998"/>
    <w:rsid w:val="3ED508CA"/>
    <w:rsid w:val="3F1109BC"/>
    <w:rsid w:val="3F1B7587"/>
    <w:rsid w:val="3F805B16"/>
    <w:rsid w:val="3FA42170"/>
    <w:rsid w:val="3FAF36DB"/>
    <w:rsid w:val="3FE1257F"/>
    <w:rsid w:val="405759DA"/>
    <w:rsid w:val="406A14B3"/>
    <w:rsid w:val="407C15D8"/>
    <w:rsid w:val="409D1B0D"/>
    <w:rsid w:val="40F97CA8"/>
    <w:rsid w:val="410B29F4"/>
    <w:rsid w:val="41171B69"/>
    <w:rsid w:val="412C1F7C"/>
    <w:rsid w:val="41415E9E"/>
    <w:rsid w:val="41883A8E"/>
    <w:rsid w:val="418A60B4"/>
    <w:rsid w:val="41943621"/>
    <w:rsid w:val="41B370D6"/>
    <w:rsid w:val="41B71371"/>
    <w:rsid w:val="42212582"/>
    <w:rsid w:val="42625CA5"/>
    <w:rsid w:val="42755843"/>
    <w:rsid w:val="42794CE2"/>
    <w:rsid w:val="428704C4"/>
    <w:rsid w:val="42C70708"/>
    <w:rsid w:val="42E0254C"/>
    <w:rsid w:val="42F40D67"/>
    <w:rsid w:val="43066FF8"/>
    <w:rsid w:val="43083995"/>
    <w:rsid w:val="430B231C"/>
    <w:rsid w:val="43146FF6"/>
    <w:rsid w:val="433204F8"/>
    <w:rsid w:val="433C3AAA"/>
    <w:rsid w:val="4345322A"/>
    <w:rsid w:val="43580CE8"/>
    <w:rsid w:val="43600192"/>
    <w:rsid w:val="43964A1C"/>
    <w:rsid w:val="43E22B61"/>
    <w:rsid w:val="44031DB9"/>
    <w:rsid w:val="447943E7"/>
    <w:rsid w:val="448C57E4"/>
    <w:rsid w:val="44B41FCD"/>
    <w:rsid w:val="44F46625"/>
    <w:rsid w:val="44F52628"/>
    <w:rsid w:val="454C191C"/>
    <w:rsid w:val="45547C0E"/>
    <w:rsid w:val="4556652D"/>
    <w:rsid w:val="45861251"/>
    <w:rsid w:val="459911EE"/>
    <w:rsid w:val="4599227F"/>
    <w:rsid w:val="45BE024B"/>
    <w:rsid w:val="45BE2AD4"/>
    <w:rsid w:val="45C2437E"/>
    <w:rsid w:val="45EA2721"/>
    <w:rsid w:val="460A0745"/>
    <w:rsid w:val="46300B95"/>
    <w:rsid w:val="463A3C1C"/>
    <w:rsid w:val="466E6ADA"/>
    <w:rsid w:val="4699240B"/>
    <w:rsid w:val="46B7014A"/>
    <w:rsid w:val="46ED5CA5"/>
    <w:rsid w:val="46FE4C6E"/>
    <w:rsid w:val="47062AB6"/>
    <w:rsid w:val="471A6376"/>
    <w:rsid w:val="475A659D"/>
    <w:rsid w:val="476207DA"/>
    <w:rsid w:val="47944B93"/>
    <w:rsid w:val="47B14EAE"/>
    <w:rsid w:val="47C00B3A"/>
    <w:rsid w:val="47C04462"/>
    <w:rsid w:val="47C96CD1"/>
    <w:rsid w:val="47D84F8A"/>
    <w:rsid w:val="47DB6ABB"/>
    <w:rsid w:val="48083448"/>
    <w:rsid w:val="48460696"/>
    <w:rsid w:val="48690DD9"/>
    <w:rsid w:val="486B54EB"/>
    <w:rsid w:val="4887121F"/>
    <w:rsid w:val="48F702B1"/>
    <w:rsid w:val="49147605"/>
    <w:rsid w:val="491C7E92"/>
    <w:rsid w:val="492910E2"/>
    <w:rsid w:val="492E569F"/>
    <w:rsid w:val="494A1301"/>
    <w:rsid w:val="494B446A"/>
    <w:rsid w:val="494E1C27"/>
    <w:rsid w:val="497F0713"/>
    <w:rsid w:val="49A36AB0"/>
    <w:rsid w:val="49A97E85"/>
    <w:rsid w:val="49D2118A"/>
    <w:rsid w:val="49D92DDD"/>
    <w:rsid w:val="49EF5321"/>
    <w:rsid w:val="4A347F6C"/>
    <w:rsid w:val="4A444508"/>
    <w:rsid w:val="4A456A14"/>
    <w:rsid w:val="4A66451F"/>
    <w:rsid w:val="4A9D0D79"/>
    <w:rsid w:val="4A9D45B8"/>
    <w:rsid w:val="4A9F545E"/>
    <w:rsid w:val="4AAB056F"/>
    <w:rsid w:val="4B08573B"/>
    <w:rsid w:val="4B626F00"/>
    <w:rsid w:val="4B743C77"/>
    <w:rsid w:val="4BC53B5B"/>
    <w:rsid w:val="4BE53FE4"/>
    <w:rsid w:val="4C1242C5"/>
    <w:rsid w:val="4C340FD6"/>
    <w:rsid w:val="4C4D4AF8"/>
    <w:rsid w:val="4C744BB3"/>
    <w:rsid w:val="4C851F32"/>
    <w:rsid w:val="4C964045"/>
    <w:rsid w:val="4CE2366D"/>
    <w:rsid w:val="4CF364F1"/>
    <w:rsid w:val="4D010671"/>
    <w:rsid w:val="4D316B33"/>
    <w:rsid w:val="4D352FBB"/>
    <w:rsid w:val="4D743D8A"/>
    <w:rsid w:val="4D9A14C4"/>
    <w:rsid w:val="4DA96C4E"/>
    <w:rsid w:val="4DCD4142"/>
    <w:rsid w:val="4DF70A62"/>
    <w:rsid w:val="4E0614E3"/>
    <w:rsid w:val="4E2452B7"/>
    <w:rsid w:val="4E695109"/>
    <w:rsid w:val="4E9C3B92"/>
    <w:rsid w:val="4E9D6524"/>
    <w:rsid w:val="4EAD1AF9"/>
    <w:rsid w:val="4EE23C1E"/>
    <w:rsid w:val="4F1913AC"/>
    <w:rsid w:val="4F4F5A65"/>
    <w:rsid w:val="4F6426A9"/>
    <w:rsid w:val="4F7A31F5"/>
    <w:rsid w:val="4FB77179"/>
    <w:rsid w:val="4FB92CDA"/>
    <w:rsid w:val="4FE775A6"/>
    <w:rsid w:val="4FF54231"/>
    <w:rsid w:val="50077447"/>
    <w:rsid w:val="502F4C40"/>
    <w:rsid w:val="50343739"/>
    <w:rsid w:val="50623802"/>
    <w:rsid w:val="50652E94"/>
    <w:rsid w:val="508700F4"/>
    <w:rsid w:val="50A970CD"/>
    <w:rsid w:val="50C72D83"/>
    <w:rsid w:val="50EC664D"/>
    <w:rsid w:val="5163596F"/>
    <w:rsid w:val="51642065"/>
    <w:rsid w:val="51895F2D"/>
    <w:rsid w:val="51A0460E"/>
    <w:rsid w:val="51A60230"/>
    <w:rsid w:val="51A823AB"/>
    <w:rsid w:val="51CC648B"/>
    <w:rsid w:val="51E202B2"/>
    <w:rsid w:val="51FC6565"/>
    <w:rsid w:val="52030FE6"/>
    <w:rsid w:val="52065DA2"/>
    <w:rsid w:val="522E4D5D"/>
    <w:rsid w:val="524A71B5"/>
    <w:rsid w:val="52642695"/>
    <w:rsid w:val="5279373F"/>
    <w:rsid w:val="528B1069"/>
    <w:rsid w:val="528D5BD8"/>
    <w:rsid w:val="528F0DD4"/>
    <w:rsid w:val="52930D7F"/>
    <w:rsid w:val="5296438C"/>
    <w:rsid w:val="530F2B4C"/>
    <w:rsid w:val="53144C5A"/>
    <w:rsid w:val="53186F98"/>
    <w:rsid w:val="53AE0CB6"/>
    <w:rsid w:val="53BE69F0"/>
    <w:rsid w:val="53D170F4"/>
    <w:rsid w:val="53E1541E"/>
    <w:rsid w:val="544F1C50"/>
    <w:rsid w:val="54606A92"/>
    <w:rsid w:val="54611A81"/>
    <w:rsid w:val="54DC110F"/>
    <w:rsid w:val="557D655D"/>
    <w:rsid w:val="55846FDD"/>
    <w:rsid w:val="558933C3"/>
    <w:rsid w:val="55B177EA"/>
    <w:rsid w:val="55CD48C4"/>
    <w:rsid w:val="560C425A"/>
    <w:rsid w:val="56116B32"/>
    <w:rsid w:val="562365CA"/>
    <w:rsid w:val="56340430"/>
    <w:rsid w:val="56581D59"/>
    <w:rsid w:val="568502CA"/>
    <w:rsid w:val="56B0773B"/>
    <w:rsid w:val="56C254B7"/>
    <w:rsid w:val="5709588E"/>
    <w:rsid w:val="570C5D6D"/>
    <w:rsid w:val="571760EF"/>
    <w:rsid w:val="571F7ADE"/>
    <w:rsid w:val="57792910"/>
    <w:rsid w:val="5781180D"/>
    <w:rsid w:val="57C77D46"/>
    <w:rsid w:val="57CF4F1B"/>
    <w:rsid w:val="58201757"/>
    <w:rsid w:val="58514364"/>
    <w:rsid w:val="585818C8"/>
    <w:rsid w:val="58602168"/>
    <w:rsid w:val="5860738B"/>
    <w:rsid w:val="58AB4E89"/>
    <w:rsid w:val="58AD7356"/>
    <w:rsid w:val="58B5550E"/>
    <w:rsid w:val="58BD5C76"/>
    <w:rsid w:val="58C11261"/>
    <w:rsid w:val="58C34E9B"/>
    <w:rsid w:val="58CB74D0"/>
    <w:rsid w:val="58D20175"/>
    <w:rsid w:val="59303772"/>
    <w:rsid w:val="59340E0B"/>
    <w:rsid w:val="59854F0A"/>
    <w:rsid w:val="59AD7B0E"/>
    <w:rsid w:val="59CD28EC"/>
    <w:rsid w:val="59D55070"/>
    <w:rsid w:val="59DA18AC"/>
    <w:rsid w:val="59E546A4"/>
    <w:rsid w:val="59FD6E5D"/>
    <w:rsid w:val="5A2F5AF5"/>
    <w:rsid w:val="5A4439EB"/>
    <w:rsid w:val="5A637B38"/>
    <w:rsid w:val="5A8C0168"/>
    <w:rsid w:val="5A8D1386"/>
    <w:rsid w:val="5A93303B"/>
    <w:rsid w:val="5ABB6C3C"/>
    <w:rsid w:val="5AC245CB"/>
    <w:rsid w:val="5ACD77B4"/>
    <w:rsid w:val="5AF81615"/>
    <w:rsid w:val="5AFF7905"/>
    <w:rsid w:val="5B1836AE"/>
    <w:rsid w:val="5B492C91"/>
    <w:rsid w:val="5B6B15AA"/>
    <w:rsid w:val="5B987BF7"/>
    <w:rsid w:val="5BAF6495"/>
    <w:rsid w:val="5BF25754"/>
    <w:rsid w:val="5C1271C4"/>
    <w:rsid w:val="5C1E13B0"/>
    <w:rsid w:val="5C1E7291"/>
    <w:rsid w:val="5C662A50"/>
    <w:rsid w:val="5CA61CCA"/>
    <w:rsid w:val="5CC73DD6"/>
    <w:rsid w:val="5CEA2522"/>
    <w:rsid w:val="5CF2777D"/>
    <w:rsid w:val="5D0D01B7"/>
    <w:rsid w:val="5D2708E3"/>
    <w:rsid w:val="5D664D05"/>
    <w:rsid w:val="5D6E48CE"/>
    <w:rsid w:val="5D7C584C"/>
    <w:rsid w:val="5D7F0635"/>
    <w:rsid w:val="5D894E7F"/>
    <w:rsid w:val="5D8D080D"/>
    <w:rsid w:val="5D935CE3"/>
    <w:rsid w:val="5DA402F0"/>
    <w:rsid w:val="5DBF6493"/>
    <w:rsid w:val="5DC05209"/>
    <w:rsid w:val="5DC12605"/>
    <w:rsid w:val="5E000CA6"/>
    <w:rsid w:val="5E3A6AA2"/>
    <w:rsid w:val="5E3E4C2D"/>
    <w:rsid w:val="5E5867E1"/>
    <w:rsid w:val="5E674F7E"/>
    <w:rsid w:val="5E874CE8"/>
    <w:rsid w:val="5E9D1B20"/>
    <w:rsid w:val="5EB00E5C"/>
    <w:rsid w:val="5ED35331"/>
    <w:rsid w:val="5EE37831"/>
    <w:rsid w:val="5EEB7859"/>
    <w:rsid w:val="5F0A3D5F"/>
    <w:rsid w:val="5F213F68"/>
    <w:rsid w:val="5F2F6349"/>
    <w:rsid w:val="5F600D4E"/>
    <w:rsid w:val="5F883F49"/>
    <w:rsid w:val="5F8E3078"/>
    <w:rsid w:val="5F956DDF"/>
    <w:rsid w:val="5F991667"/>
    <w:rsid w:val="5FA416F1"/>
    <w:rsid w:val="5FD93954"/>
    <w:rsid w:val="5FDC55D3"/>
    <w:rsid w:val="5FF469EE"/>
    <w:rsid w:val="5FFB0094"/>
    <w:rsid w:val="60160416"/>
    <w:rsid w:val="60305CC7"/>
    <w:rsid w:val="604A1238"/>
    <w:rsid w:val="606107A7"/>
    <w:rsid w:val="609D4E6C"/>
    <w:rsid w:val="60A62DBA"/>
    <w:rsid w:val="60C03CCF"/>
    <w:rsid w:val="60D42D03"/>
    <w:rsid w:val="60E62C9D"/>
    <w:rsid w:val="611B62E0"/>
    <w:rsid w:val="615E501E"/>
    <w:rsid w:val="6180773A"/>
    <w:rsid w:val="61A06374"/>
    <w:rsid w:val="6221139D"/>
    <w:rsid w:val="622470A5"/>
    <w:rsid w:val="62247F4C"/>
    <w:rsid w:val="622D2FAA"/>
    <w:rsid w:val="625D25EA"/>
    <w:rsid w:val="62857C4E"/>
    <w:rsid w:val="6286607D"/>
    <w:rsid w:val="62A62781"/>
    <w:rsid w:val="62E05FC6"/>
    <w:rsid w:val="62FD3864"/>
    <w:rsid w:val="63464F7D"/>
    <w:rsid w:val="634B0772"/>
    <w:rsid w:val="636E7A2E"/>
    <w:rsid w:val="63815A2A"/>
    <w:rsid w:val="63877E7E"/>
    <w:rsid w:val="63BF7E8E"/>
    <w:rsid w:val="63C01CBD"/>
    <w:rsid w:val="63FC4F9D"/>
    <w:rsid w:val="643F3D04"/>
    <w:rsid w:val="644204E6"/>
    <w:rsid w:val="64635DFB"/>
    <w:rsid w:val="64683A23"/>
    <w:rsid w:val="64942E6C"/>
    <w:rsid w:val="64AF3910"/>
    <w:rsid w:val="64BC2C9E"/>
    <w:rsid w:val="64C626B7"/>
    <w:rsid w:val="65252157"/>
    <w:rsid w:val="65683151"/>
    <w:rsid w:val="658066C4"/>
    <w:rsid w:val="65912A7B"/>
    <w:rsid w:val="65A90FD6"/>
    <w:rsid w:val="660428AE"/>
    <w:rsid w:val="660D1E09"/>
    <w:rsid w:val="660E4242"/>
    <w:rsid w:val="662519F4"/>
    <w:rsid w:val="66354951"/>
    <w:rsid w:val="666A2C09"/>
    <w:rsid w:val="6679092A"/>
    <w:rsid w:val="669315AD"/>
    <w:rsid w:val="66BA2385"/>
    <w:rsid w:val="66DB09CF"/>
    <w:rsid w:val="66E96680"/>
    <w:rsid w:val="66F422E8"/>
    <w:rsid w:val="67237A0F"/>
    <w:rsid w:val="67487CFE"/>
    <w:rsid w:val="67695728"/>
    <w:rsid w:val="677038E2"/>
    <w:rsid w:val="677777A9"/>
    <w:rsid w:val="67844587"/>
    <w:rsid w:val="67B43783"/>
    <w:rsid w:val="67B92A72"/>
    <w:rsid w:val="67C24235"/>
    <w:rsid w:val="67D547C2"/>
    <w:rsid w:val="67FA0E09"/>
    <w:rsid w:val="68075EA1"/>
    <w:rsid w:val="68233F9E"/>
    <w:rsid w:val="68277A88"/>
    <w:rsid w:val="686831F8"/>
    <w:rsid w:val="687E435B"/>
    <w:rsid w:val="689340A3"/>
    <w:rsid w:val="68A12E72"/>
    <w:rsid w:val="68DC73EC"/>
    <w:rsid w:val="69054B5C"/>
    <w:rsid w:val="69293200"/>
    <w:rsid w:val="694347AF"/>
    <w:rsid w:val="694F06EB"/>
    <w:rsid w:val="6963607F"/>
    <w:rsid w:val="696403F8"/>
    <w:rsid w:val="69766916"/>
    <w:rsid w:val="698D63CB"/>
    <w:rsid w:val="698F77F4"/>
    <w:rsid w:val="69B23B9D"/>
    <w:rsid w:val="69B5510C"/>
    <w:rsid w:val="69E82867"/>
    <w:rsid w:val="6A086F70"/>
    <w:rsid w:val="6A540655"/>
    <w:rsid w:val="6A5B510D"/>
    <w:rsid w:val="6A5F2917"/>
    <w:rsid w:val="6A8D4C80"/>
    <w:rsid w:val="6AA159CB"/>
    <w:rsid w:val="6AA26939"/>
    <w:rsid w:val="6ACB1DCC"/>
    <w:rsid w:val="6AD50437"/>
    <w:rsid w:val="6AE4041A"/>
    <w:rsid w:val="6AEE57CB"/>
    <w:rsid w:val="6B3030A0"/>
    <w:rsid w:val="6B3E2D98"/>
    <w:rsid w:val="6B417EB3"/>
    <w:rsid w:val="6B707214"/>
    <w:rsid w:val="6B9C69D2"/>
    <w:rsid w:val="6BB104FC"/>
    <w:rsid w:val="6BC75657"/>
    <w:rsid w:val="6BD126F0"/>
    <w:rsid w:val="6BE1773A"/>
    <w:rsid w:val="6BE35659"/>
    <w:rsid w:val="6C2B66F7"/>
    <w:rsid w:val="6C5437FF"/>
    <w:rsid w:val="6C56491E"/>
    <w:rsid w:val="6C5B64F3"/>
    <w:rsid w:val="6C872F0E"/>
    <w:rsid w:val="6CB84F3A"/>
    <w:rsid w:val="6D05726A"/>
    <w:rsid w:val="6D340FE2"/>
    <w:rsid w:val="6D5172EC"/>
    <w:rsid w:val="6D673555"/>
    <w:rsid w:val="6D717C1E"/>
    <w:rsid w:val="6D92611A"/>
    <w:rsid w:val="6D981B81"/>
    <w:rsid w:val="6D994274"/>
    <w:rsid w:val="6DB90857"/>
    <w:rsid w:val="6DC267F1"/>
    <w:rsid w:val="6E032FC6"/>
    <w:rsid w:val="6E083615"/>
    <w:rsid w:val="6E0D26B4"/>
    <w:rsid w:val="6E146DCC"/>
    <w:rsid w:val="6E360FB8"/>
    <w:rsid w:val="6E44084F"/>
    <w:rsid w:val="6E4F3DA5"/>
    <w:rsid w:val="6E5D06EF"/>
    <w:rsid w:val="6E6F0BB4"/>
    <w:rsid w:val="6E6F1D57"/>
    <w:rsid w:val="6E7A62E4"/>
    <w:rsid w:val="6E9D2927"/>
    <w:rsid w:val="6EB25B0B"/>
    <w:rsid w:val="6EB80BA0"/>
    <w:rsid w:val="6ED37D90"/>
    <w:rsid w:val="6EE964AB"/>
    <w:rsid w:val="6F00046B"/>
    <w:rsid w:val="6F065AB6"/>
    <w:rsid w:val="6F3364F9"/>
    <w:rsid w:val="6F441647"/>
    <w:rsid w:val="6F4D0F66"/>
    <w:rsid w:val="6F505503"/>
    <w:rsid w:val="6F57424B"/>
    <w:rsid w:val="6F612830"/>
    <w:rsid w:val="6F9E5543"/>
    <w:rsid w:val="6FD10B10"/>
    <w:rsid w:val="6FE61F22"/>
    <w:rsid w:val="6FFD00DA"/>
    <w:rsid w:val="70352925"/>
    <w:rsid w:val="70505871"/>
    <w:rsid w:val="7059136B"/>
    <w:rsid w:val="7067165B"/>
    <w:rsid w:val="706B4405"/>
    <w:rsid w:val="70801B07"/>
    <w:rsid w:val="709A7A5C"/>
    <w:rsid w:val="70A1406F"/>
    <w:rsid w:val="70B0465E"/>
    <w:rsid w:val="70FE623D"/>
    <w:rsid w:val="71233682"/>
    <w:rsid w:val="715B3C2A"/>
    <w:rsid w:val="717A163C"/>
    <w:rsid w:val="71803C89"/>
    <w:rsid w:val="71994E64"/>
    <w:rsid w:val="71CA7676"/>
    <w:rsid w:val="71E05943"/>
    <w:rsid w:val="71EA7695"/>
    <w:rsid w:val="71EE7FB9"/>
    <w:rsid w:val="72536FDC"/>
    <w:rsid w:val="727D75DF"/>
    <w:rsid w:val="72BB74DD"/>
    <w:rsid w:val="72CC013F"/>
    <w:rsid w:val="72D36E77"/>
    <w:rsid w:val="72DD2BAD"/>
    <w:rsid w:val="72FB66FD"/>
    <w:rsid w:val="73020D5E"/>
    <w:rsid w:val="732872C5"/>
    <w:rsid w:val="7360086A"/>
    <w:rsid w:val="739A0DC0"/>
    <w:rsid w:val="73B920B2"/>
    <w:rsid w:val="74085669"/>
    <w:rsid w:val="740A4EF9"/>
    <w:rsid w:val="74412921"/>
    <w:rsid w:val="74594423"/>
    <w:rsid w:val="7475710D"/>
    <w:rsid w:val="747621BD"/>
    <w:rsid w:val="75086A21"/>
    <w:rsid w:val="750B356A"/>
    <w:rsid w:val="750C4DDC"/>
    <w:rsid w:val="7510569F"/>
    <w:rsid w:val="756950CA"/>
    <w:rsid w:val="75922EAF"/>
    <w:rsid w:val="75AD28A1"/>
    <w:rsid w:val="75C224B9"/>
    <w:rsid w:val="76013E56"/>
    <w:rsid w:val="760A7D9D"/>
    <w:rsid w:val="76233B7C"/>
    <w:rsid w:val="76335855"/>
    <w:rsid w:val="763E51CC"/>
    <w:rsid w:val="76465F91"/>
    <w:rsid w:val="766026E6"/>
    <w:rsid w:val="76B770A6"/>
    <w:rsid w:val="76CE7275"/>
    <w:rsid w:val="76E4362B"/>
    <w:rsid w:val="770A1659"/>
    <w:rsid w:val="7712242B"/>
    <w:rsid w:val="771F60E4"/>
    <w:rsid w:val="77231D40"/>
    <w:rsid w:val="773A7A8E"/>
    <w:rsid w:val="77466345"/>
    <w:rsid w:val="77471485"/>
    <w:rsid w:val="77825F67"/>
    <w:rsid w:val="77951211"/>
    <w:rsid w:val="77B91A42"/>
    <w:rsid w:val="77C5780E"/>
    <w:rsid w:val="77FE04E7"/>
    <w:rsid w:val="782F327E"/>
    <w:rsid w:val="78397A32"/>
    <w:rsid w:val="78A06277"/>
    <w:rsid w:val="78C64F8E"/>
    <w:rsid w:val="79105016"/>
    <w:rsid w:val="791A1EB8"/>
    <w:rsid w:val="791E4FA3"/>
    <w:rsid w:val="797167CA"/>
    <w:rsid w:val="798E4E1E"/>
    <w:rsid w:val="799E2AB3"/>
    <w:rsid w:val="79A37A59"/>
    <w:rsid w:val="79C61A14"/>
    <w:rsid w:val="79C85435"/>
    <w:rsid w:val="79D16AD3"/>
    <w:rsid w:val="79EE5B89"/>
    <w:rsid w:val="79F05A1B"/>
    <w:rsid w:val="7A020CA3"/>
    <w:rsid w:val="7A067805"/>
    <w:rsid w:val="7A376AEF"/>
    <w:rsid w:val="7A3E570B"/>
    <w:rsid w:val="7A627545"/>
    <w:rsid w:val="7A811C50"/>
    <w:rsid w:val="7AA408FA"/>
    <w:rsid w:val="7B123707"/>
    <w:rsid w:val="7B236D19"/>
    <w:rsid w:val="7B307625"/>
    <w:rsid w:val="7B347CEC"/>
    <w:rsid w:val="7B576B4E"/>
    <w:rsid w:val="7B761608"/>
    <w:rsid w:val="7B87133C"/>
    <w:rsid w:val="7B9234A2"/>
    <w:rsid w:val="7C105077"/>
    <w:rsid w:val="7C3810A9"/>
    <w:rsid w:val="7C416F95"/>
    <w:rsid w:val="7C4E5B9F"/>
    <w:rsid w:val="7C580760"/>
    <w:rsid w:val="7C8B3404"/>
    <w:rsid w:val="7C8D6ADA"/>
    <w:rsid w:val="7C9C47E0"/>
    <w:rsid w:val="7C9E070C"/>
    <w:rsid w:val="7CBB152F"/>
    <w:rsid w:val="7D2C343C"/>
    <w:rsid w:val="7D4C3183"/>
    <w:rsid w:val="7D5F378A"/>
    <w:rsid w:val="7D9314F6"/>
    <w:rsid w:val="7D9C06C0"/>
    <w:rsid w:val="7DBE5AB2"/>
    <w:rsid w:val="7DDB441F"/>
    <w:rsid w:val="7E4B1AB3"/>
    <w:rsid w:val="7E58216F"/>
    <w:rsid w:val="7E58478A"/>
    <w:rsid w:val="7E70415D"/>
    <w:rsid w:val="7E7F1745"/>
    <w:rsid w:val="7E886BD8"/>
    <w:rsid w:val="7E922F1E"/>
    <w:rsid w:val="7E9C1A45"/>
    <w:rsid w:val="7EEF7176"/>
    <w:rsid w:val="7F5D7752"/>
    <w:rsid w:val="7F7A668F"/>
    <w:rsid w:val="7F7C1BAA"/>
    <w:rsid w:val="7F91228D"/>
    <w:rsid w:val="7F980D98"/>
    <w:rsid w:val="7FA669B9"/>
    <w:rsid w:val="7FBA4CF9"/>
    <w:rsid w:val="7FDB65A4"/>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30"/>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character" w:default="1" w:styleId="17">
    <w:name w:val="Default Paragraph Font"/>
    <w:autoRedefine/>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7">
    <w:name w:val="caption"/>
    <w:basedOn w:val="1"/>
    <w:next w:val="1"/>
    <w:autoRedefine/>
    <w:unhideWhenUsed/>
    <w:qFormat/>
    <w:uiPriority w:val="35"/>
    <w:rPr>
      <w:b/>
      <w:bCs/>
    </w:rPr>
  </w:style>
  <w:style w:type="paragraph" w:styleId="8">
    <w:name w:val="annotation text"/>
    <w:basedOn w:val="1"/>
    <w:link w:val="28"/>
    <w:autoRedefine/>
    <w:qFormat/>
    <w:uiPriority w:val="99"/>
    <w:pPr>
      <w:jc w:val="left"/>
    </w:pPr>
  </w:style>
  <w:style w:type="paragraph" w:styleId="9">
    <w:name w:val="Body Text"/>
    <w:basedOn w:val="1"/>
    <w:autoRedefine/>
    <w:qFormat/>
    <w:uiPriority w:val="0"/>
    <w:pPr>
      <w:spacing w:after="120"/>
    </w:pPr>
  </w:style>
  <w:style w:type="paragraph" w:styleId="10">
    <w:name w:val="footer"/>
    <w:basedOn w:val="1"/>
    <w:link w:val="21"/>
    <w:autoRedefine/>
    <w:unhideWhenUsed/>
    <w:qFormat/>
    <w:uiPriority w:val="99"/>
    <w:pPr>
      <w:tabs>
        <w:tab w:val="center" w:pos="4153"/>
        <w:tab w:val="right" w:pos="8306"/>
      </w:tabs>
      <w:snapToGrid w:val="0"/>
      <w:jc w:val="left"/>
    </w:pPr>
    <w:rPr>
      <w:sz w:val="18"/>
      <w:szCs w:val="18"/>
    </w:rPr>
  </w:style>
  <w:style w:type="paragraph" w:styleId="11">
    <w:name w:val="header"/>
    <w:basedOn w:val="1"/>
    <w:link w:val="2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autoRedefine/>
    <w:qFormat/>
    <w:uiPriority w:val="0"/>
    <w:pPr>
      <w:ind w:left="568" w:hanging="284"/>
    </w:pPr>
  </w:style>
  <w:style w:type="paragraph" w:styleId="13">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paragraph" w:styleId="14">
    <w:name w:val="annotation subject"/>
    <w:basedOn w:val="8"/>
    <w:next w:val="8"/>
    <w:link w:val="29"/>
    <w:autoRedefine/>
    <w:semiHidden/>
    <w:unhideWhenUsed/>
    <w:qFormat/>
    <w:uiPriority w:val="99"/>
    <w:rPr>
      <w:b/>
      <w:bCs/>
    </w:rPr>
  </w:style>
  <w:style w:type="table" w:styleId="16">
    <w:name w:val="Table Grid"/>
    <w:basedOn w:val="15"/>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autoRedefine/>
    <w:qFormat/>
    <w:uiPriority w:val="99"/>
    <w:rPr>
      <w:color w:val="0000FF"/>
      <w:u w:val="single"/>
    </w:rPr>
  </w:style>
  <w:style w:type="character" w:styleId="19">
    <w:name w:val="annotation reference"/>
    <w:basedOn w:val="17"/>
    <w:autoRedefine/>
    <w:qFormat/>
    <w:uiPriority w:val="0"/>
    <w:rPr>
      <w:sz w:val="21"/>
      <w:szCs w:val="21"/>
    </w:rPr>
  </w:style>
  <w:style w:type="character" w:customStyle="1" w:styleId="20">
    <w:name w:val="页眉 字符"/>
    <w:basedOn w:val="17"/>
    <w:link w:val="11"/>
    <w:autoRedefine/>
    <w:qFormat/>
    <w:uiPriority w:val="99"/>
    <w:rPr>
      <w:sz w:val="18"/>
      <w:szCs w:val="18"/>
    </w:rPr>
  </w:style>
  <w:style w:type="character" w:customStyle="1" w:styleId="21">
    <w:name w:val="页脚 字符"/>
    <w:basedOn w:val="17"/>
    <w:link w:val="10"/>
    <w:autoRedefine/>
    <w:qFormat/>
    <w:uiPriority w:val="99"/>
    <w:rPr>
      <w:sz w:val="18"/>
      <w:szCs w:val="18"/>
    </w:rPr>
  </w:style>
  <w:style w:type="paragraph" w:customStyle="1" w:styleId="22">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3">
    <w:name w:val="TF"/>
    <w:basedOn w:val="22"/>
    <w:autoRedefine/>
    <w:qFormat/>
    <w:uiPriority w:val="0"/>
    <w:pPr>
      <w:keepNext w:val="0"/>
      <w:spacing w:before="0" w:after="240"/>
    </w:pPr>
  </w:style>
  <w:style w:type="paragraph" w:styleId="24">
    <w:name w:val="List Paragraph"/>
    <w:basedOn w:val="1"/>
    <w:autoRedefine/>
    <w:qFormat/>
    <w:uiPriority w:val="34"/>
    <w:pPr>
      <w:ind w:firstLine="420" w:firstLineChars="200"/>
    </w:pPr>
  </w:style>
  <w:style w:type="paragraph" w:customStyle="1" w:styleId="25">
    <w:name w:val="B1"/>
    <w:basedOn w:val="12"/>
    <w:autoRedefine/>
    <w:qFormat/>
    <w:uiPriority w:val="0"/>
  </w:style>
  <w:style w:type="paragraph" w:customStyle="1" w:styleId="26">
    <w:name w:val="Doc-text2"/>
    <w:basedOn w:val="1"/>
    <w:autoRedefine/>
    <w:qFormat/>
    <w:uiPriority w:val="0"/>
    <w:pPr>
      <w:tabs>
        <w:tab w:val="left" w:pos="1622"/>
      </w:tabs>
      <w:ind w:left="1622" w:hanging="363"/>
      <w:jc w:val="left"/>
    </w:pPr>
    <w:rPr>
      <w:rFonts w:eastAsia="MS Mincho"/>
      <w:szCs w:val="24"/>
    </w:rPr>
  </w:style>
  <w:style w:type="paragraph" w:customStyle="1" w:styleId="27">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8">
    <w:name w:val="批注文字 字符"/>
    <w:basedOn w:val="17"/>
    <w:link w:val="8"/>
    <w:autoRedefine/>
    <w:qFormat/>
    <w:uiPriority w:val="99"/>
    <w:rPr>
      <w:kern w:val="2"/>
      <w:sz w:val="21"/>
      <w:szCs w:val="22"/>
    </w:rPr>
  </w:style>
  <w:style w:type="character" w:customStyle="1" w:styleId="29">
    <w:name w:val="批注主题 字符"/>
    <w:basedOn w:val="28"/>
    <w:link w:val="14"/>
    <w:autoRedefine/>
    <w:semiHidden/>
    <w:qFormat/>
    <w:uiPriority w:val="99"/>
    <w:rPr>
      <w:b/>
      <w:bCs/>
      <w:kern w:val="2"/>
      <w:sz w:val="21"/>
      <w:szCs w:val="22"/>
    </w:rPr>
  </w:style>
  <w:style w:type="character" w:customStyle="1" w:styleId="30">
    <w:name w:val="标题 4 字符"/>
    <w:link w:val="5"/>
    <w:autoRedefine/>
    <w:qFormat/>
    <w:uiPriority w:val="9"/>
    <w:rPr>
      <w:i/>
    </w:rPr>
  </w:style>
  <w:style w:type="paragraph" w:customStyle="1" w:styleId="31">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2">
    <w:name w:val="Comments"/>
    <w:basedOn w:val="1"/>
    <w:autoRedefine/>
    <w:qFormat/>
    <w:uiPriority w:val="0"/>
    <w:rPr>
      <w:i/>
      <w:sz w:val="18"/>
    </w:rPr>
  </w:style>
  <w:style w:type="paragraph" w:customStyle="1" w:styleId="33">
    <w:name w:val="Agreement"/>
    <w:basedOn w:val="1"/>
    <w:next w:val="26"/>
    <w:autoRedefine/>
    <w:qFormat/>
    <w:uiPriority w:val="0"/>
    <w:pPr>
      <w:numPr>
        <w:ilvl w:val="0"/>
        <w:numId w:val="4"/>
      </w:numPr>
      <w:tabs>
        <w:tab w:val="left" w:pos="1619"/>
        <w:tab w:val="clear" w:pos="1352"/>
      </w:tabs>
      <w:spacing w:before="60"/>
      <w:ind w:left="1619"/>
    </w:pPr>
    <w:rPr>
      <w:b/>
    </w:rPr>
  </w:style>
  <w:style w:type="character" w:customStyle="1" w:styleId="34">
    <w:name w:val="ui-provider"/>
    <w:basedOn w:val="17"/>
    <w:autoRedefine/>
    <w:qFormat/>
    <w:uiPriority w:val="0"/>
  </w:style>
  <w:style w:type="paragraph" w:customStyle="1" w:styleId="35">
    <w:name w:val="pf0"/>
    <w:basedOn w:val="1"/>
    <w:autoRedefine/>
    <w:qFormat/>
    <w:uiPriority w:val="0"/>
    <w:pPr>
      <w:spacing w:before="100" w:beforeAutospacing="1" w:after="100" w:afterAutospacing="1"/>
    </w:pPr>
    <w:rPr>
      <w:sz w:val="24"/>
      <w:szCs w:val="24"/>
      <w:lang w:eastAsia="ko-KR"/>
    </w:rPr>
  </w:style>
  <w:style w:type="paragraph" w:customStyle="1" w:styleId="36">
    <w:name w:val="B2"/>
    <w:basedOn w:val="1"/>
    <w:autoRedefine/>
    <w:qFormat/>
    <w:uiPriority w:val="0"/>
    <w:pPr>
      <w:ind w:left="851" w:hanging="284"/>
    </w:pPr>
  </w:style>
  <w:style w:type="paragraph" w:customStyle="1" w:styleId="37">
    <w:name w:val="Revision"/>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8">
    <w:name w:val="NO"/>
    <w:basedOn w:val="1"/>
    <w:autoRedefine/>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3.bin"/><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1039</Words>
  <Characters>5923</Characters>
  <Lines>49</Lines>
  <Paragraphs>13</Paragraphs>
  <TotalTime>1</TotalTime>
  <ScaleCrop>false</ScaleCrop>
  <LinksUpToDate>false</LinksUpToDate>
  <CharactersWithSpaces>6949</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谭佳瑶</cp:lastModifiedBy>
  <dcterms:modified xsi:type="dcterms:W3CDTF">2024-04-05T03:32:03Z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FD2C039753B540898E9E1C676FCEB489_13</vt:lpwstr>
  </property>
</Properties>
</file>